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EB515">
      <w:pPr>
        <w:pStyle w:val="5"/>
        <w:rPr>
          <w:rFonts w:ascii="Castellar" w:hAnsi="Castellar" w:eastAsia="新宋体-18030" w:cs="新宋体-18030"/>
          <w:sz w:val="84"/>
          <w:szCs w:val="84"/>
        </w:rPr>
      </w:pPr>
    </w:p>
    <w:p w14:paraId="7125786B">
      <w:pPr>
        <w:pStyle w:val="5"/>
        <w:rPr>
          <w:rFonts w:ascii="宋体" w:hAnsi="宋体" w:eastAsia="宋体"/>
          <w:sz w:val="52"/>
          <w:szCs w:val="52"/>
        </w:rPr>
      </w:pPr>
    </w:p>
    <w:p w14:paraId="0D35B513">
      <w:pPr>
        <w:pStyle w:val="5"/>
        <w:jc w:val="center"/>
        <w:rPr>
          <w:rFonts w:hint="default" w:ascii="华文中宋" w:hAnsi="华文中宋" w:eastAsia="华文中宋" w:cs="Arial"/>
          <w:b/>
          <w:sz w:val="52"/>
          <w:szCs w:val="52"/>
          <w:lang w:val="en-US"/>
        </w:rPr>
      </w:pPr>
      <w:r>
        <w:rPr>
          <w:rFonts w:hint="eastAsia" w:ascii="华文中宋" w:hAnsi="华文中宋" w:eastAsia="华文中宋" w:cs="Arial"/>
          <w:b/>
          <w:sz w:val="52"/>
          <w:szCs w:val="52"/>
        </w:rPr>
        <w:t>计量技术规范</w:t>
      </w:r>
      <w:r>
        <w:rPr>
          <w:rFonts w:hint="eastAsia" w:ascii="华文中宋" w:hAnsi="华文中宋" w:eastAsia="华文中宋" w:cs="Arial"/>
          <w:b/>
          <w:sz w:val="52"/>
          <w:szCs w:val="52"/>
          <w:lang w:val="en-US" w:eastAsia="zh-CN"/>
        </w:rPr>
        <w:t>实验报告及不确定度</w:t>
      </w:r>
    </w:p>
    <w:p w14:paraId="7659CD23"/>
    <w:p w14:paraId="47FE0CF4"/>
    <w:p w14:paraId="00D11543">
      <w:r>
        <w:rPr>
          <w:rFonts w:hint="eastAsia"/>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119380</wp:posOffset>
                </wp:positionV>
                <wp:extent cx="5351145" cy="13335"/>
                <wp:effectExtent l="0" t="6350" r="13335" b="1079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351145" cy="13335"/>
                        </a:xfrm>
                        <a:prstGeom prst="line">
                          <a:avLst/>
                        </a:prstGeom>
                        <a:noFill/>
                        <a:ln w="12700">
                          <a:solidFill>
                            <a:srgbClr val="000000"/>
                          </a:solidFill>
                          <a:round/>
                        </a:ln>
                      </wps:spPr>
                      <wps:bodyPr/>
                    </wps:wsp>
                  </a:graphicData>
                </a:graphic>
              </wp:anchor>
            </w:drawing>
          </mc:Choice>
          <mc:Fallback>
            <w:pict>
              <v:line id="_x0000_s1026" o:spid="_x0000_s1026" o:spt="20" style="position:absolute;left:0pt;margin-left:-0.7pt;margin-top:9.4pt;height:1.05pt;width:421.35pt;z-index:251659264;mso-width-relative:page;mso-height-relative:page;" filled="f" stroked="t" coordsize="21600,21600" o:gfxdata="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YI5zbY&#10;AAAACAEAAA8AAAAAAAAAAQAgAAAAIgAAAGRycy9kb3ducmV2LnhtbFBLAQIUABQAAAAIAIdO4kBy&#10;GhaD5wEAAK8DAAAOAAAAAAAAAAEAIAAAACcBAABkcnMvZTJvRG9jLnhtbFBLBQYAAAAABgAGAFkB&#10;AACABQAAAAA=&#10;">
                <v:fill on="f" focussize="0,0"/>
                <v:stroke weight="1pt" color="#000000" joinstyle="round"/>
                <v:imagedata o:title=""/>
                <o:lock v:ext="edit" aspectratio="f"/>
              </v:line>
            </w:pict>
          </mc:Fallback>
        </mc:AlternateContent>
      </w:r>
    </w:p>
    <w:p w14:paraId="4CEC0072"/>
    <w:p w14:paraId="6DEFC83B"/>
    <w:p w14:paraId="2F0CA156"/>
    <w:p w14:paraId="26C9CC4D"/>
    <w:p w14:paraId="17D563CC"/>
    <w:p w14:paraId="1C650685"/>
    <w:p w14:paraId="559191A5"/>
    <w:p w14:paraId="3028D9B1"/>
    <w:p w14:paraId="192EA5BE"/>
    <w:p w14:paraId="569EA336"/>
    <w:p w14:paraId="40A70A7B">
      <w:pPr>
        <w:jc w:val="center"/>
        <w:rPr>
          <w:rFonts w:hint="default" w:ascii="黑体" w:eastAsia="黑体"/>
          <w:sz w:val="52"/>
          <w:szCs w:val="52"/>
          <w:lang w:val="en-US"/>
        </w:rPr>
      </w:pPr>
      <w:r>
        <w:rPr>
          <w:rFonts w:hint="default" w:ascii="黑体" w:eastAsia="黑体"/>
          <w:sz w:val="52"/>
          <w:szCs w:val="52"/>
          <w:lang w:val="en-US"/>
        </w:rPr>
        <w:t>2π光通量计校准规范</w:t>
      </w:r>
    </w:p>
    <w:p w14:paraId="062EE8F5"/>
    <w:p w14:paraId="613E323E"/>
    <w:p w14:paraId="597972FD">
      <w:pPr>
        <w:pStyle w:val="6"/>
        <w:ind w:firstLine="0" w:firstLineChars="0"/>
        <w:jc w:val="center"/>
        <w:rPr>
          <w:rFonts w:hint="eastAsia"/>
          <w:b/>
          <w:sz w:val="44"/>
          <w:szCs w:val="36"/>
          <w:lang w:val="en-US" w:eastAsia="zh-CN"/>
        </w:rPr>
      </w:pPr>
      <w:r>
        <w:rPr>
          <w:rFonts w:hint="eastAsia"/>
          <w:b/>
          <w:sz w:val="44"/>
          <w:szCs w:val="36"/>
          <w:lang w:val="en-US" w:eastAsia="zh-CN"/>
        </w:rPr>
        <w:t>校准不确定度分析报告</w:t>
      </w:r>
    </w:p>
    <w:p w14:paraId="4C410FA9">
      <w:pPr>
        <w:rPr>
          <w:rFonts w:hint="default"/>
          <w:b/>
          <w:sz w:val="44"/>
          <w:szCs w:val="36"/>
          <w:lang w:val="en-US" w:eastAsia="zh-CN"/>
        </w:rPr>
      </w:pPr>
    </w:p>
    <w:p w14:paraId="2C4B82F5">
      <w:pPr>
        <w:jc w:val="center"/>
      </w:pPr>
      <w:r>
        <w:rPr>
          <w:rFonts w:hint="eastAsia"/>
        </w:rPr>
        <w:t>（20</w:t>
      </w:r>
      <w:r>
        <w:rPr>
          <w:rFonts w:hint="eastAsia"/>
          <w:lang w:val="en-US" w:eastAsia="zh-CN"/>
        </w:rPr>
        <w:t>25</w:t>
      </w:r>
      <w:r>
        <w:rPr>
          <w:rFonts w:hint="eastAsia"/>
        </w:rPr>
        <w:t>.</w:t>
      </w:r>
      <w:r>
        <w:rPr>
          <w:rFonts w:hint="eastAsia"/>
          <w:lang w:val="en-US" w:eastAsia="zh-CN"/>
        </w:rPr>
        <w:t>09</w:t>
      </w:r>
      <w:r>
        <w:rPr>
          <w:rFonts w:hint="eastAsia"/>
        </w:rPr>
        <w:t>.</w:t>
      </w:r>
      <w:r>
        <w:rPr>
          <w:rFonts w:hint="eastAsia"/>
          <w:lang w:val="en-US" w:eastAsia="zh-CN"/>
        </w:rPr>
        <w:t>19</w:t>
      </w:r>
      <w:r>
        <w:rPr>
          <w:rFonts w:hint="eastAsia"/>
        </w:rPr>
        <w:t>）</w:t>
      </w:r>
    </w:p>
    <w:p w14:paraId="361FD8A2"/>
    <w:p w14:paraId="2125B8EB">
      <w:pPr>
        <w:pStyle w:val="6"/>
        <w:ind w:firstLine="0" w:firstLineChars="0"/>
      </w:pPr>
    </w:p>
    <w:p w14:paraId="282A3178"/>
    <w:p w14:paraId="77B6F4E1">
      <w:pPr>
        <w:pStyle w:val="6"/>
        <w:ind w:firstLine="0" w:firstLineChars="0"/>
      </w:pPr>
    </w:p>
    <w:p w14:paraId="0151E417"/>
    <w:p w14:paraId="3B14ECC0">
      <w:pPr>
        <w:widowControl/>
        <w:jc w:val="left"/>
      </w:pPr>
      <w:r>
        <w:br w:type="page"/>
      </w:r>
    </w:p>
    <w:p w14:paraId="2B8F613A">
      <w:pPr>
        <w:numPr>
          <w:ilvl w:val="0"/>
          <w:numId w:val="1"/>
        </w:numPr>
        <w:autoSpaceDE w:val="0"/>
        <w:autoSpaceDN w:val="0"/>
        <w:adjustRightInd w:val="0"/>
        <w:jc w:val="left"/>
        <w:textAlignment w:val="baseline"/>
        <w:rPr>
          <w:rFonts w:eastAsia="华文楷体"/>
          <w:sz w:val="28"/>
          <w:szCs w:val="28"/>
        </w:rPr>
      </w:pPr>
      <w:r>
        <w:rPr>
          <w:rFonts w:hint="eastAsia" w:eastAsia="华文楷体"/>
          <w:sz w:val="28"/>
          <w:szCs w:val="28"/>
          <w:lang w:val="en-US" w:eastAsia="zh-CN"/>
        </w:rPr>
        <w:t>测量不确定度评定实例</w:t>
      </w:r>
      <w:r>
        <w:rPr>
          <w:rFonts w:hint="eastAsia" w:eastAsia="华文楷体"/>
          <w:sz w:val="28"/>
          <w:szCs w:val="28"/>
        </w:rPr>
        <w:t>：</w:t>
      </w:r>
    </w:p>
    <w:p w14:paraId="2F636368">
      <w:pPr>
        <w:bidi w:val="0"/>
        <w:spacing w:line="240" w:lineRule="auto"/>
        <w:jc w:val="center"/>
        <w:rPr>
          <w:rFonts w:hint="default"/>
          <w:b/>
          <w:bCs/>
          <w:lang w:val="en-US" w:eastAsia="zh-CN"/>
        </w:rPr>
      </w:pPr>
    </w:p>
    <w:p w14:paraId="73595D43">
      <w:pPr>
        <w:ind w:firstLine="420" w:firstLineChars="0"/>
        <w:rPr>
          <w:rFonts w:hint="eastAsia"/>
          <w:sz w:val="24"/>
          <w:szCs w:val="24"/>
          <w:lang w:val="en-US" w:eastAsia="zh-CN"/>
        </w:rPr>
      </w:pPr>
      <w:r>
        <w:rPr>
          <w:rFonts w:hint="eastAsia"/>
          <w:sz w:val="24"/>
          <w:szCs w:val="24"/>
          <w:lang w:val="en-US" w:eastAsia="zh-CN"/>
        </w:rPr>
        <w:t>使用发强度标准灯在一定距离产生均匀照度场的方法对被校准光通量计进行校准，对校准结果进行不确定度评估实例。</w:t>
      </w:r>
    </w:p>
    <w:p w14:paraId="391CD571">
      <w:pPr>
        <w:ind w:firstLine="420" w:firstLineChars="0"/>
        <w:rPr>
          <w:rFonts w:hint="eastAsia"/>
          <w:sz w:val="24"/>
          <w:szCs w:val="24"/>
          <w:lang w:val="en-US" w:eastAsia="zh-CN"/>
        </w:rPr>
      </w:pPr>
    </w:p>
    <w:p w14:paraId="6761C033">
      <w:pPr>
        <w:rPr>
          <w:rFonts w:hint="eastAsia"/>
          <w:sz w:val="24"/>
          <w:szCs w:val="24"/>
          <w:highlight w:val="none"/>
          <w:lang w:val="en-US" w:eastAsia="zh-CN"/>
        </w:rPr>
      </w:pPr>
      <w:r>
        <w:rPr>
          <w:rFonts w:hint="eastAsia"/>
          <w:sz w:val="24"/>
          <w:szCs w:val="24"/>
          <w:lang w:val="en-US" w:eastAsia="zh-CN"/>
        </w:rPr>
        <w:t xml:space="preserve">1 </w:t>
      </w:r>
      <w:r>
        <w:rPr>
          <w:rFonts w:hint="eastAsia"/>
          <w:sz w:val="24"/>
          <w:szCs w:val="24"/>
          <w:highlight w:val="none"/>
          <w:lang w:val="en-US" w:eastAsia="zh-CN"/>
        </w:rPr>
        <w:t>校准方法</w:t>
      </w:r>
    </w:p>
    <w:p w14:paraId="3178B9C4">
      <w:pPr>
        <w:ind w:firstLine="420" w:firstLineChars="0"/>
        <w:rPr>
          <w:rFonts w:hint="default"/>
          <w:sz w:val="24"/>
          <w:szCs w:val="24"/>
          <w:highlight w:val="none"/>
          <w:lang w:val="en-US" w:eastAsia="zh-CN"/>
        </w:rPr>
      </w:pPr>
      <w:r>
        <w:rPr>
          <w:rFonts w:hint="eastAsia"/>
          <w:sz w:val="24"/>
          <w:szCs w:val="24"/>
          <w:lang w:val="en-US" w:eastAsia="zh-CN"/>
        </w:rPr>
        <w:t>发光强度标准灯</w:t>
      </w:r>
      <w:r>
        <w:rPr>
          <w:rFonts w:hint="eastAsia"/>
          <w:sz w:val="24"/>
          <w:szCs w:val="24"/>
          <w:highlight w:val="none"/>
          <w:lang w:val="en-US" w:eastAsia="zh-CN"/>
        </w:rPr>
        <w:t>在光学导轨上按照规定的方式点燃，在该光学导轨的工作光轴上还放置有被校准的光通量计的积分球，积分球开口中心法线和工作光轴中和。积分球开口朝向发光强度标准灯工作面。两者相隔的距离大于发光强度标准灯工作面尺度15倍以上，大于积分球开口直径15倍以上。</w:t>
      </w:r>
    </w:p>
    <w:p w14:paraId="7BC1D9F4">
      <w:pPr>
        <w:ind w:firstLine="420" w:firstLineChars="0"/>
        <w:rPr>
          <w:rFonts w:hint="eastAsia"/>
          <w:sz w:val="24"/>
          <w:szCs w:val="24"/>
          <w:highlight w:val="none"/>
          <w:lang w:val="en-US" w:eastAsia="zh-CN"/>
        </w:rPr>
      </w:pPr>
    </w:p>
    <w:p w14:paraId="2ED398EC">
      <w:pPr>
        <w:rPr>
          <w:rFonts w:hint="eastAsia"/>
          <w:sz w:val="24"/>
          <w:szCs w:val="24"/>
          <w:lang w:val="en-US" w:eastAsia="zh-CN"/>
        </w:rPr>
      </w:pPr>
      <w:r>
        <w:rPr>
          <w:rFonts w:hint="eastAsia"/>
          <w:sz w:val="24"/>
          <w:szCs w:val="24"/>
          <w:lang w:val="en-US" w:eastAsia="zh-CN"/>
        </w:rPr>
        <w:t>2 测量模型</w:t>
      </w:r>
    </w:p>
    <w:p w14:paraId="57F972FF">
      <w:pPr>
        <w:ind w:firstLine="420" w:firstLineChars="0"/>
        <w:rPr>
          <w:rFonts w:hint="default"/>
          <w:sz w:val="24"/>
          <w:szCs w:val="24"/>
          <w:lang w:val="en-US" w:eastAsia="zh-CN"/>
        </w:rPr>
      </w:pPr>
      <w:r>
        <w:rPr>
          <w:rFonts w:hint="eastAsia"/>
          <w:sz w:val="24"/>
          <w:szCs w:val="24"/>
          <w:lang w:val="en-US" w:eastAsia="zh-CN"/>
        </w:rPr>
        <w:t>根据本校准规范，被校准光通量的光通量示值相对偏差是</w:t>
      </w:r>
    </w:p>
    <w:p w14:paraId="68122DF8">
      <w:pPr>
        <w:bidi w:val="0"/>
        <w:ind w:firstLine="420" w:firstLineChars="0"/>
        <w:rPr>
          <w:rFonts w:hint="default" w:ascii="宋体" w:hAnsi="宋体" w:cs="宋体" w:eastAsiaTheme="minorEastAsia"/>
          <w:sz w:val="24"/>
          <w:szCs w:val="24"/>
          <w:lang w:val="en-US" w:eastAsia="zh-CN"/>
        </w:rPr>
      </w:pPr>
      <m:oMathPara>
        <m:oMath>
          <m:r>
            <m:rPr/>
            <w:rPr>
              <w:rFonts w:hint="default" w:ascii="Cambria Math" w:hAnsi="Cambria Math" w:cs="宋体"/>
              <w:sz w:val="24"/>
              <w:szCs w:val="24"/>
              <w:lang w:val="en-US"/>
            </w:rPr>
            <m:t>η</m:t>
          </m:r>
          <m:r>
            <m:rPr>
              <m:sty m:val="p"/>
            </m:rPr>
            <w:rPr>
              <w:rFonts w:hint="eastAsia" w:ascii="Cambria Math" w:hAnsi="Cambria Math" w:cs="宋体"/>
              <w:sz w:val="24"/>
              <w:szCs w:val="24"/>
              <w:lang w:val="en-US" w:eastAsia="zh-CN"/>
            </w:rPr>
            <m:t>=</m:t>
          </m:r>
          <m:d>
            <m:dPr>
              <m:ctrlPr>
                <w:rPr>
                  <w:rFonts w:hint="eastAsia" w:ascii="Cambria Math" w:hAnsi="Cambria Math" w:cs="宋体"/>
                  <w:b w:val="0"/>
                  <w:i w:val="0"/>
                  <w:sz w:val="24"/>
                  <w:szCs w:val="24"/>
                  <w:lang w:val="en-US" w:eastAsia="zh-CN"/>
                </w:rPr>
              </m:ctrlPr>
            </m:dPr>
            <m:e>
              <m:f>
                <m:fPr>
                  <m:ctrlPr>
                    <w:rPr>
                      <w:rFonts w:hint="eastAsia" w:ascii="Cambria Math" w:hAnsi="Cambria Math" w:cs="宋体"/>
                      <w:sz w:val="24"/>
                      <w:szCs w:val="24"/>
                      <w:lang w:val="en-US" w:eastAsia="zh-CN"/>
                    </w:rPr>
                  </m:ctrlPr>
                </m:fPr>
                <m:num>
                  <m:sSub>
                    <m:sSubPr>
                      <m:ctrlPr>
                        <w:rPr>
                          <w:rFonts w:ascii="Cambria Math" w:hAnsi="Cambria Math" w:cs="宋体"/>
                          <w:sz w:val="24"/>
                          <w:szCs w:val="24"/>
                          <w:lang w:val="en-US"/>
                        </w:rPr>
                      </m:ctrlPr>
                    </m:sSubPr>
                    <m:e>
                      <m:r>
                        <m:rPr/>
                        <w:rPr>
                          <w:rFonts w:hint="default" w:ascii="Cambria Math" w:hAnsi="Cambria Math" w:cs="宋体"/>
                          <w:sz w:val="24"/>
                          <w:szCs w:val="24"/>
                          <w:lang w:val="en-US"/>
                        </w:rPr>
                        <m:t>Φ</m:t>
                      </m:r>
                      <m:ctrlPr>
                        <w:rPr>
                          <w:rFonts w:ascii="Cambria Math" w:hAnsi="Cambria Math" w:cs="宋体"/>
                          <w:sz w:val="24"/>
                          <w:szCs w:val="24"/>
                          <w:lang w:val="en-US"/>
                        </w:rPr>
                      </m:ctrlPr>
                    </m:e>
                    <m:sub>
                      <m:r>
                        <m:rPr>
                          <m:sty m:val="p"/>
                        </m:rPr>
                        <w:rPr>
                          <w:rFonts w:hint="eastAsia" w:ascii="Cambria Math" w:hAnsi="Cambria Math" w:cs="宋体"/>
                          <w:sz w:val="24"/>
                          <w:szCs w:val="24"/>
                          <w:lang w:val="en-US" w:eastAsia="zh-CN"/>
                        </w:rPr>
                        <m:t>t</m:t>
                      </m:r>
                      <m:ctrlPr>
                        <w:rPr>
                          <w:rFonts w:ascii="Cambria Math" w:hAnsi="Cambria Math" w:cs="宋体"/>
                          <w:sz w:val="24"/>
                          <w:szCs w:val="24"/>
                          <w:lang w:val="en-US"/>
                        </w:rPr>
                      </m:ctrlPr>
                    </m:sub>
                  </m:sSub>
                  <m:ctrlPr>
                    <w:rPr>
                      <w:rFonts w:hint="eastAsia" w:ascii="Cambria Math" w:hAnsi="Cambria Math" w:cs="宋体"/>
                      <w:sz w:val="24"/>
                      <w:szCs w:val="24"/>
                      <w:lang w:val="en-US" w:eastAsia="zh-CN"/>
                    </w:rPr>
                  </m:ctrlPr>
                </m:num>
                <m:den>
                  <m:sSub>
                    <m:sSubPr>
                      <m:ctrlPr>
                        <w:rPr>
                          <w:rFonts w:ascii="Cambria Math" w:hAnsi="Cambria Math" w:cs="宋体"/>
                          <w:sz w:val="24"/>
                          <w:szCs w:val="24"/>
                          <w:lang w:val="en-US"/>
                        </w:rPr>
                      </m:ctrlPr>
                    </m:sSubPr>
                    <m:e>
                      <m:r>
                        <m:rPr/>
                        <w:rPr>
                          <w:rFonts w:hint="default" w:ascii="Cambria Math" w:hAnsi="Cambria Math" w:cs="宋体"/>
                          <w:sz w:val="24"/>
                          <w:szCs w:val="24"/>
                          <w:lang w:val="en-US"/>
                        </w:rPr>
                        <m:t>Φ</m:t>
                      </m:r>
                      <m:ctrlPr>
                        <w:rPr>
                          <w:rFonts w:ascii="Cambria Math" w:hAnsi="Cambria Math" w:cs="宋体"/>
                          <w:sz w:val="24"/>
                          <w:szCs w:val="24"/>
                          <w:lang w:val="en-US"/>
                        </w:rPr>
                      </m:ctrlPr>
                    </m:e>
                    <m:sub>
                      <m:r>
                        <m:rPr>
                          <m:sty m:val="p"/>
                        </m:rPr>
                        <w:rPr>
                          <w:rFonts w:hint="default" w:ascii="Cambria Math" w:hAnsi="Cambria Math" w:cs="宋体"/>
                          <w:sz w:val="24"/>
                          <w:szCs w:val="24"/>
                          <w:lang w:val="en-US" w:eastAsia="zh-CN"/>
                        </w:rPr>
                        <m:t>s</m:t>
                      </m:r>
                      <m:ctrlPr>
                        <w:rPr>
                          <w:rFonts w:ascii="Cambria Math" w:hAnsi="Cambria Math" w:cs="宋体"/>
                          <w:sz w:val="24"/>
                          <w:szCs w:val="24"/>
                          <w:lang w:val="en-US"/>
                        </w:rPr>
                      </m:ctrlPr>
                    </m:sub>
                  </m:sSub>
                  <m:ctrlPr>
                    <w:rPr>
                      <w:rFonts w:hint="eastAsia" w:ascii="Cambria Math" w:hAnsi="Cambria Math" w:cs="宋体"/>
                      <w:sz w:val="24"/>
                      <w:szCs w:val="24"/>
                      <w:lang w:val="en-US" w:eastAsia="zh-CN"/>
                    </w:rPr>
                  </m:ctrlPr>
                </m:den>
              </m:f>
              <m:r>
                <m:rPr>
                  <m:sty m:val="p"/>
                </m:rPr>
                <w:rPr>
                  <w:rFonts w:hint="default" w:ascii="Cambria Math" w:hAnsi="Cambria Math" w:cs="宋体"/>
                  <w:sz w:val="24"/>
                  <w:szCs w:val="24"/>
                  <w:lang w:val="en-US" w:eastAsia="zh-CN"/>
                </w:rPr>
                <m:t>−1</m:t>
              </m:r>
              <m:ctrlPr>
                <w:rPr>
                  <w:rFonts w:hint="eastAsia" w:ascii="Cambria Math" w:hAnsi="Cambria Math" w:cs="宋体"/>
                  <w:b w:val="0"/>
                  <w:i w:val="0"/>
                  <w:sz w:val="24"/>
                  <w:szCs w:val="24"/>
                  <w:lang w:val="en-US" w:eastAsia="zh-CN"/>
                </w:rPr>
              </m:ctrlPr>
            </m:e>
          </m:d>
          <m:r>
            <m:rPr>
              <m:sty m:val="p"/>
            </m:rPr>
            <w:rPr>
              <w:rFonts w:hint="default" w:ascii="Cambria Math" w:hAnsi="Cambria Math" w:cs="Cambria Math"/>
              <w:sz w:val="24"/>
              <w:szCs w:val="24"/>
              <w:lang w:val="en-US" w:eastAsia="zh-CN"/>
            </w:rPr>
            <m:t>×</m:t>
          </m:r>
          <m:r>
            <m:rPr>
              <m:sty m:val="p"/>
            </m:rPr>
            <w:rPr>
              <w:rFonts w:hint="default" w:ascii="Cambria Math" w:hAnsi="Cambria Math" w:cs="宋体"/>
              <w:sz w:val="24"/>
              <w:szCs w:val="24"/>
              <w:lang w:val="en-US" w:eastAsia="zh-CN"/>
            </w:rPr>
            <m:t>100%</m:t>
          </m:r>
          <m:r>
            <m:rPr>
              <m:sty m:val="p"/>
            </m:rPr>
            <w:rPr>
              <w:rFonts w:hint="eastAsia" w:ascii="Cambria Math" w:hAnsi="Cambria Math" w:cs="宋体"/>
              <w:sz w:val="24"/>
              <w:szCs w:val="24"/>
              <w:lang w:val="en-US" w:eastAsia="zh-CN"/>
            </w:rPr>
            <m:t>，其中</m:t>
          </m:r>
          <m:sSub>
            <m:sSubPr>
              <m:ctrlPr>
                <w:rPr>
                  <w:rFonts w:ascii="Cambria Math" w:hAnsi="Cambria Math" w:cs="宋体"/>
                  <w:sz w:val="24"/>
                  <w:szCs w:val="24"/>
                  <w:lang w:val="en-US"/>
                </w:rPr>
              </m:ctrlPr>
            </m:sSubPr>
            <m:e>
              <m:r>
                <m:rPr/>
                <w:rPr>
                  <w:rFonts w:hint="default" w:ascii="Cambria Math" w:hAnsi="Cambria Math" w:cs="宋体"/>
                  <w:sz w:val="24"/>
                  <w:szCs w:val="24"/>
                  <w:lang w:val="en-US"/>
                </w:rPr>
                <m:t>Φ</m:t>
              </m:r>
              <m:ctrlPr>
                <w:rPr>
                  <w:rFonts w:ascii="Cambria Math" w:hAnsi="Cambria Math" w:cs="宋体"/>
                  <w:sz w:val="24"/>
                  <w:szCs w:val="24"/>
                  <w:lang w:val="en-US"/>
                </w:rPr>
              </m:ctrlPr>
            </m:e>
            <m:sub>
              <m:r>
                <m:rPr>
                  <m:sty m:val="p"/>
                </m:rPr>
                <w:rPr>
                  <w:rFonts w:hint="default" w:ascii="Cambria Math" w:hAnsi="Cambria Math" w:cs="宋体"/>
                  <w:sz w:val="24"/>
                  <w:szCs w:val="24"/>
                  <w:lang w:val="en-US" w:eastAsia="zh-CN"/>
                </w:rPr>
                <m:t>s</m:t>
              </m:r>
              <m:ctrlPr>
                <w:rPr>
                  <w:rFonts w:ascii="Cambria Math" w:hAnsi="Cambria Math" w:cs="宋体"/>
                  <w:sz w:val="24"/>
                  <w:szCs w:val="24"/>
                  <w:lang w:val="en-US"/>
                </w:rPr>
              </m:ctrlPr>
            </m:sub>
          </m:sSub>
          <m:r>
            <m:rPr/>
            <w:rPr>
              <w:rFonts w:hint="eastAsia" w:ascii="Cambria Math" w:hAnsi="Cambria Math" w:cs="宋体"/>
              <w:sz w:val="24"/>
              <w:szCs w:val="24"/>
              <w:lang w:val="en-US" w:eastAsia="zh-CN"/>
            </w:rPr>
            <m:t>=</m:t>
          </m:r>
          <m:f>
            <m:fPr>
              <m:ctrlPr>
                <w:rPr>
                  <w:rFonts w:hint="eastAsia" w:ascii="Cambria Math" w:hAnsi="Cambria Math" w:cs="宋体"/>
                  <w:sz w:val="24"/>
                  <w:szCs w:val="24"/>
                  <w:lang w:val="en-US" w:eastAsia="zh-CN"/>
                </w:rPr>
              </m:ctrlPr>
            </m:fPr>
            <m:num>
              <m:sSub>
                <m:sSubPr>
                  <m:ctrlPr>
                    <w:rPr>
                      <w:rFonts w:ascii="Cambria Math" w:hAnsi="Cambria Math" w:cs="宋体"/>
                      <w:sz w:val="24"/>
                      <w:szCs w:val="24"/>
                      <w:lang w:val="en-US"/>
                    </w:rPr>
                  </m:ctrlPr>
                </m:sSubPr>
                <m:e>
                  <m:r>
                    <m:rPr/>
                    <w:rPr>
                      <w:rFonts w:hint="default" w:ascii="Cambria Math" w:hAnsi="Cambria Math" w:cs="宋体"/>
                      <w:sz w:val="24"/>
                      <w:szCs w:val="24"/>
                      <w:lang w:val="en-US" w:eastAsia="zh-CN"/>
                    </w:rPr>
                    <m:t>I</m:t>
                  </m:r>
                  <m:ctrlPr>
                    <w:rPr>
                      <w:rFonts w:ascii="Cambria Math" w:hAnsi="Cambria Math" w:cs="宋体"/>
                      <w:sz w:val="24"/>
                      <w:szCs w:val="24"/>
                      <w:lang w:val="en-US"/>
                    </w:rPr>
                  </m:ctrlPr>
                </m:e>
                <m:sub>
                  <m:r>
                    <m:rPr>
                      <m:sty m:val="p"/>
                    </m:rPr>
                    <w:rPr>
                      <w:rFonts w:hint="default" w:ascii="Cambria Math" w:hAnsi="Cambria Math" w:cs="宋体"/>
                      <w:sz w:val="24"/>
                      <w:szCs w:val="24"/>
                      <w:lang w:val="en-US" w:eastAsia="zh-CN"/>
                    </w:rPr>
                    <m:t>s</m:t>
                  </m:r>
                  <m:ctrlPr>
                    <w:rPr>
                      <w:rFonts w:ascii="Cambria Math" w:hAnsi="Cambria Math" w:cs="宋体"/>
                      <w:sz w:val="24"/>
                      <w:szCs w:val="24"/>
                      <w:lang w:val="en-US"/>
                    </w:rPr>
                  </m:ctrlPr>
                </m:sub>
              </m:sSub>
              <m:ctrlPr>
                <w:rPr>
                  <w:rFonts w:hint="eastAsia" w:ascii="Cambria Math" w:hAnsi="Cambria Math" w:cs="宋体"/>
                  <w:sz w:val="24"/>
                  <w:szCs w:val="24"/>
                  <w:lang w:val="en-US" w:eastAsia="zh-CN"/>
                </w:rPr>
              </m:ctrlPr>
            </m:num>
            <m:den>
              <m:sSup>
                <m:sSupPr>
                  <m:ctrlPr>
                    <w:rPr>
                      <w:rFonts w:hint="eastAsia" w:ascii="Cambria Math" w:hAnsi="Cambria Math" w:cs="宋体"/>
                      <w:sz w:val="24"/>
                      <w:szCs w:val="24"/>
                      <w:lang w:val="en-US" w:eastAsia="zh-CN"/>
                    </w:rPr>
                  </m:ctrlPr>
                </m:sSupPr>
                <m:e>
                  <m:r>
                    <m:rPr/>
                    <w:rPr>
                      <w:rFonts w:hint="default" w:ascii="Cambria Math" w:hAnsi="Cambria Math" w:cs="宋体"/>
                      <w:sz w:val="24"/>
                      <w:szCs w:val="24"/>
                      <w:lang w:val="en-US" w:eastAsia="zh-CN"/>
                    </w:rPr>
                    <m:t>d</m:t>
                  </m:r>
                  <m:ctrlPr>
                    <w:rPr>
                      <w:rFonts w:hint="eastAsia" w:ascii="Cambria Math" w:hAnsi="Cambria Math" w:cs="宋体"/>
                      <w:sz w:val="24"/>
                      <w:szCs w:val="24"/>
                      <w:lang w:val="en-US" w:eastAsia="zh-CN"/>
                    </w:rPr>
                  </m:ctrlPr>
                </m:e>
                <m:sup>
                  <m:r>
                    <m:rPr>
                      <m:sty m:val="p"/>
                    </m:rPr>
                    <w:rPr>
                      <w:rFonts w:hint="default" w:ascii="Cambria Math" w:hAnsi="Cambria Math" w:cs="宋体"/>
                      <w:sz w:val="24"/>
                      <w:szCs w:val="24"/>
                      <w:lang w:val="en-US" w:eastAsia="zh-CN"/>
                    </w:rPr>
                    <m:t>2</m:t>
                  </m:r>
                  <m:ctrlPr>
                    <w:rPr>
                      <w:rFonts w:hint="eastAsia" w:ascii="Cambria Math" w:hAnsi="Cambria Math" w:cs="宋体"/>
                      <w:sz w:val="24"/>
                      <w:szCs w:val="24"/>
                      <w:lang w:val="en-US" w:eastAsia="zh-CN"/>
                    </w:rPr>
                  </m:ctrlPr>
                </m:sup>
              </m:sSup>
              <m:ctrlPr>
                <w:rPr>
                  <w:rFonts w:hint="eastAsia" w:ascii="Cambria Math" w:hAnsi="Cambria Math" w:cs="宋体"/>
                  <w:sz w:val="24"/>
                  <w:szCs w:val="24"/>
                  <w:lang w:val="en-US" w:eastAsia="zh-CN"/>
                </w:rPr>
              </m:ctrlPr>
            </m:den>
          </m:f>
          <m:r>
            <m:rPr>
              <m:sty m:val="p"/>
            </m:rPr>
            <w:rPr>
              <w:rFonts w:hint="default" w:ascii="Cambria Math" w:hAnsi="Cambria Math" w:cs="Cambria Math"/>
              <w:sz w:val="24"/>
              <w:szCs w:val="24"/>
              <w:lang w:val="en-US" w:eastAsia="zh-CN"/>
            </w:rPr>
            <m:t>×</m:t>
          </m:r>
          <m:r>
            <m:rPr/>
            <w:rPr>
              <w:rFonts w:hint="default" w:ascii="Cambria Math" w:hAnsi="Cambria Math" w:cs="宋体"/>
              <w:sz w:val="24"/>
              <w:szCs w:val="24"/>
              <w:lang w:val="en-US" w:eastAsia="zh-CN"/>
            </w:rPr>
            <m:t>A</m:t>
          </m:r>
        </m:oMath>
      </m:oMathPara>
    </w:p>
    <w:p w14:paraId="328EB80F">
      <w:pPr>
        <w:bidi w:val="0"/>
        <w:ind w:firstLine="420" w:firstLineChars="0"/>
        <w:rPr>
          <w:rFonts w:hint="default" w:ascii="宋体" w:hAnsi="宋体" w:cs="宋体" w:eastAsiaTheme="minorEastAsia"/>
          <w:sz w:val="24"/>
          <w:szCs w:val="24"/>
          <w:lang w:val="en-US" w:eastAsia="zh-CN"/>
        </w:rPr>
      </w:pPr>
    </w:p>
    <w:p w14:paraId="0DE19B24">
      <w:pPr>
        <w:rPr>
          <w:rFonts w:hint="default" w:eastAsiaTheme="minorEastAsia"/>
          <w:sz w:val="24"/>
          <w:szCs w:val="24"/>
          <w:highlight w:val="none"/>
          <w:lang w:val="en-US" w:eastAsia="zh-CN"/>
        </w:rPr>
      </w:pPr>
      <w:r>
        <w:rPr>
          <w:rFonts w:hint="eastAsia"/>
          <w:sz w:val="24"/>
          <w:szCs w:val="24"/>
          <w:highlight w:val="none"/>
          <w:lang w:val="en-US" w:eastAsia="zh-CN"/>
        </w:rPr>
        <w:t>其中，</w:t>
      </w:r>
      <m:oMath>
        <m:sSub>
          <m:sSubPr>
            <m:ctrlPr>
              <w:rPr>
                <w:rFonts w:ascii="Cambria Math" w:hAnsi="Cambria Math" w:cs="宋体"/>
                <w:sz w:val="24"/>
                <w:szCs w:val="24"/>
                <w:lang w:val="en-US"/>
              </w:rPr>
            </m:ctrlPr>
          </m:sSubPr>
          <m:e>
            <m:r>
              <m:rPr/>
              <w:rPr>
                <w:rFonts w:hint="default" w:ascii="Cambria Math" w:hAnsi="Cambria Math" w:cs="宋体"/>
                <w:sz w:val="24"/>
                <w:szCs w:val="24"/>
                <w:lang w:val="en-US"/>
              </w:rPr>
              <m:t>Φ</m:t>
            </m:r>
            <m:ctrlPr>
              <w:rPr>
                <w:rFonts w:ascii="Cambria Math" w:hAnsi="Cambria Math" w:cs="宋体"/>
                <w:sz w:val="24"/>
                <w:szCs w:val="24"/>
                <w:lang w:val="en-US"/>
              </w:rPr>
            </m:ctrlPr>
          </m:e>
          <m:sub>
            <m:r>
              <m:rPr>
                <m:sty m:val="p"/>
              </m:rPr>
              <w:rPr>
                <w:rFonts w:hint="eastAsia" w:ascii="Cambria Math" w:hAnsi="Cambria Math" w:cs="宋体"/>
                <w:sz w:val="24"/>
                <w:szCs w:val="24"/>
                <w:lang w:val="en-US" w:eastAsia="zh-CN"/>
              </w:rPr>
              <m:t>t</m:t>
            </m:r>
            <m:ctrlPr>
              <w:rPr>
                <w:rFonts w:ascii="Cambria Math" w:hAnsi="Cambria Math" w:cs="宋体"/>
                <w:sz w:val="24"/>
                <w:szCs w:val="24"/>
                <w:lang w:val="en-US"/>
              </w:rPr>
            </m:ctrlPr>
          </m:sub>
        </m:sSub>
      </m:oMath>
      <w:r>
        <w:rPr>
          <w:rFonts w:hint="eastAsia" w:hAnsi="Cambria Math" w:cs="宋体"/>
          <w:i w:val="0"/>
          <w:sz w:val="24"/>
          <w:szCs w:val="24"/>
          <w:lang w:val="en-US" w:eastAsia="zh-CN"/>
        </w:rPr>
        <w:t>是被测仪器的光通量读数；</w:t>
      </w:r>
    </w:p>
    <w:p w14:paraId="133BEE2D">
      <w:pPr>
        <w:ind w:firstLine="720" w:firstLineChars="300"/>
        <w:rPr>
          <w:rFonts w:hint="eastAsia"/>
          <w:sz w:val="24"/>
          <w:szCs w:val="24"/>
          <w:lang w:val="en-US" w:eastAsia="zh-CN"/>
        </w:rPr>
      </w:pPr>
      <m:oMath>
        <m:sSub>
          <m:sSubPr>
            <m:ctrlPr>
              <w:rPr>
                <w:rFonts w:ascii="Cambria Math" w:hAnsi="Cambria Math" w:cs="宋体"/>
                <w:sz w:val="24"/>
                <w:szCs w:val="24"/>
                <w:lang w:val="en-US"/>
              </w:rPr>
            </m:ctrlPr>
          </m:sSubPr>
          <m:e>
            <m:r>
              <m:rPr/>
              <w:rPr>
                <w:rFonts w:hint="default" w:ascii="Cambria Math" w:hAnsi="Cambria Math" w:cs="宋体"/>
                <w:sz w:val="24"/>
                <w:szCs w:val="24"/>
                <w:lang w:val="en-US" w:eastAsia="zh-CN"/>
              </w:rPr>
              <m:t>I</m:t>
            </m:r>
            <m:ctrlPr>
              <w:rPr>
                <w:rFonts w:ascii="Cambria Math" w:hAnsi="Cambria Math" w:cs="宋体"/>
                <w:sz w:val="24"/>
                <w:szCs w:val="24"/>
                <w:lang w:val="en-US"/>
              </w:rPr>
            </m:ctrlPr>
          </m:e>
          <m:sub>
            <m:r>
              <m:rPr>
                <m:sty m:val="p"/>
              </m:rPr>
              <w:rPr>
                <w:rFonts w:hint="default" w:ascii="Cambria Math" w:hAnsi="Cambria Math" w:cs="宋体"/>
                <w:sz w:val="24"/>
                <w:szCs w:val="24"/>
                <w:lang w:val="en-US" w:eastAsia="zh-CN"/>
              </w:rPr>
              <m:t>s</m:t>
            </m:r>
            <m:ctrlPr>
              <w:rPr>
                <w:rFonts w:ascii="Cambria Math" w:hAnsi="Cambria Math" w:cs="宋体"/>
                <w:sz w:val="24"/>
                <w:szCs w:val="24"/>
                <w:lang w:val="en-US"/>
              </w:rPr>
            </m:ctrlPr>
          </m:sub>
        </m:sSub>
      </m:oMath>
      <w:r>
        <w:rPr>
          <w:rFonts w:hint="eastAsia" w:hAnsi="Cambria Math" w:cs="宋体"/>
          <w:i w:val="0"/>
          <w:sz w:val="24"/>
          <w:szCs w:val="24"/>
          <w:lang w:val="en-US" w:eastAsia="zh-CN"/>
        </w:rPr>
        <w:t>是</w:t>
      </w:r>
      <w:r>
        <w:rPr>
          <w:rFonts w:hint="eastAsia"/>
          <w:sz w:val="24"/>
          <w:szCs w:val="24"/>
          <w:lang w:val="en-US" w:eastAsia="zh-CN"/>
        </w:rPr>
        <w:t>发光强度标准灯的发光强度值；</w:t>
      </w:r>
    </w:p>
    <w:p w14:paraId="1814D39E">
      <w:pPr>
        <w:rPr>
          <w:rFonts w:hint="eastAsia"/>
          <w:sz w:val="24"/>
          <w:szCs w:val="24"/>
          <w:highlight w:val="none"/>
          <w:lang w:val="en-US" w:eastAsia="zh-CN"/>
        </w:rPr>
      </w:pPr>
      <w:r>
        <w:rPr>
          <w:rFonts w:hint="eastAsia"/>
          <w:sz w:val="24"/>
          <w:szCs w:val="24"/>
          <w:lang w:val="en-US" w:eastAsia="zh-CN"/>
        </w:rPr>
        <w:t xml:space="preserve">      </w:t>
      </w:r>
      <w:r>
        <w:rPr>
          <w:rFonts w:hint="eastAsia"/>
          <w:i/>
          <w:iCs/>
          <w:sz w:val="24"/>
          <w:szCs w:val="24"/>
          <w:lang w:val="en-US" w:eastAsia="zh-CN"/>
        </w:rPr>
        <w:t>d</w:t>
      </w:r>
      <w:r>
        <w:rPr>
          <w:rFonts w:hint="eastAsia"/>
          <w:sz w:val="24"/>
          <w:szCs w:val="24"/>
          <w:lang w:val="en-US" w:eastAsia="zh-CN"/>
        </w:rPr>
        <w:t>是</w:t>
      </w:r>
      <w:r>
        <w:rPr>
          <w:rFonts w:hint="eastAsia"/>
          <w:sz w:val="24"/>
          <w:szCs w:val="24"/>
          <w:highlight w:val="none"/>
          <w:lang w:val="en-US" w:eastAsia="zh-CN"/>
        </w:rPr>
        <w:t>发光强度标准灯与积分球开口的距离；</w:t>
      </w:r>
    </w:p>
    <w:p w14:paraId="43C6742C">
      <w:pPr>
        <w:rPr>
          <w:rFonts w:hint="eastAsia"/>
          <w:sz w:val="24"/>
          <w:szCs w:val="24"/>
          <w:highlight w:val="none"/>
          <w:lang w:val="en-US" w:eastAsia="zh-CN"/>
        </w:rPr>
      </w:pPr>
      <w:r>
        <w:rPr>
          <w:rFonts w:hint="eastAsia"/>
          <w:sz w:val="24"/>
          <w:szCs w:val="24"/>
          <w:highlight w:val="none"/>
          <w:lang w:val="en-US" w:eastAsia="zh-CN"/>
        </w:rPr>
        <w:t xml:space="preserve">      A是积分球开口的面积；</w:t>
      </w:r>
    </w:p>
    <w:p w14:paraId="4695015D">
      <w:pPr>
        <w:rPr>
          <w:rFonts w:hint="eastAsia"/>
          <w:sz w:val="24"/>
          <w:szCs w:val="24"/>
          <w:highlight w:val="none"/>
          <w:lang w:val="en-US" w:eastAsia="zh-CN"/>
        </w:rPr>
      </w:pPr>
    </w:p>
    <w:p w14:paraId="3E292C6B">
      <w:pPr>
        <w:rPr>
          <w:rFonts w:hint="eastAsia"/>
          <w:sz w:val="24"/>
          <w:szCs w:val="24"/>
          <w:highlight w:val="none"/>
          <w:lang w:val="en-US" w:eastAsia="zh-CN"/>
        </w:rPr>
      </w:pPr>
      <w:r>
        <w:rPr>
          <w:rFonts w:hint="eastAsia"/>
          <w:sz w:val="24"/>
          <w:szCs w:val="24"/>
          <w:lang w:val="en-US" w:eastAsia="zh-CN"/>
        </w:rPr>
        <w:t xml:space="preserve">3 </w:t>
      </w:r>
      <w:r>
        <w:rPr>
          <w:rFonts w:hint="eastAsia" w:hAnsi="Cambria Math" w:cs="宋体"/>
          <w:i w:val="0"/>
          <w:sz w:val="24"/>
          <w:szCs w:val="24"/>
          <w:lang w:val="en-US" w:eastAsia="zh-CN"/>
        </w:rPr>
        <w:t>被测仪器的光通量读数</w:t>
      </w:r>
      <w:r>
        <w:rPr>
          <w:rFonts w:hint="eastAsia"/>
          <w:sz w:val="24"/>
          <w:szCs w:val="24"/>
          <w:lang w:val="en-US" w:eastAsia="zh-CN"/>
        </w:rPr>
        <w:t>的不确定度分量</w:t>
      </w:r>
      <w:r>
        <w:rPr>
          <w:rFonts w:hint="eastAsia"/>
          <w:sz w:val="24"/>
          <w:szCs w:val="24"/>
          <w:highlight w:val="none"/>
          <w:lang w:val="en-US" w:eastAsia="zh-CN"/>
        </w:rPr>
        <w:t>评定</w:t>
      </w:r>
    </w:p>
    <w:p w14:paraId="6362CA13">
      <w:pPr>
        <w:rPr>
          <w:rFonts w:hint="eastAsia"/>
          <w:sz w:val="24"/>
          <w:szCs w:val="24"/>
          <w:lang w:val="en-US" w:eastAsia="zh-CN"/>
        </w:rPr>
      </w:pPr>
      <w:r>
        <w:rPr>
          <w:rFonts w:hint="eastAsia"/>
          <w:sz w:val="24"/>
          <w:szCs w:val="24"/>
          <w:highlight w:val="none"/>
          <w:lang w:val="en-US" w:eastAsia="zh-CN"/>
        </w:rPr>
        <w:t xml:space="preserve">3.1 </w:t>
      </w:r>
      <w:r>
        <w:rPr>
          <w:rFonts w:hint="eastAsia"/>
          <w:sz w:val="24"/>
          <w:szCs w:val="24"/>
          <w:lang w:val="en-US" w:eastAsia="zh-CN"/>
        </w:rPr>
        <w:t xml:space="preserve"> </w:t>
      </w:r>
      <w:r>
        <w:rPr>
          <w:rFonts w:hint="eastAsia" w:hAnsi="Cambria Math" w:cs="宋体"/>
          <w:i w:val="0"/>
          <w:sz w:val="24"/>
          <w:szCs w:val="24"/>
          <w:lang w:val="en-US" w:eastAsia="zh-CN"/>
        </w:rPr>
        <w:t>光通量读数</w:t>
      </w:r>
      <w:r>
        <w:rPr>
          <w:rFonts w:hint="eastAsia"/>
          <w:sz w:val="24"/>
          <w:szCs w:val="24"/>
          <w:lang w:val="en-US" w:eastAsia="zh-CN"/>
        </w:rPr>
        <w:t>重复性</w:t>
      </w:r>
    </w:p>
    <w:p w14:paraId="77D099A3">
      <w:pPr>
        <w:ind w:firstLine="420" w:firstLineChars="0"/>
        <w:rPr>
          <w:rFonts w:hint="eastAsia"/>
          <w:sz w:val="24"/>
          <w:szCs w:val="24"/>
          <w:lang w:val="en-US" w:eastAsia="zh-CN"/>
        </w:rPr>
      </w:pPr>
      <w:r>
        <w:rPr>
          <w:rFonts w:hint="eastAsia"/>
          <w:sz w:val="24"/>
          <w:szCs w:val="24"/>
          <w:lang w:val="en-US" w:eastAsia="zh-CN"/>
        </w:rPr>
        <w:t>光通量计重复测量10次，读数分别是</w:t>
      </w:r>
      <w:bookmarkStart w:id="0" w:name="_GoBack"/>
      <w:r>
        <w:rPr>
          <w:rFonts w:hint="eastAsia"/>
          <w:sz w:val="24"/>
          <w:szCs w:val="24"/>
          <w:highlight w:val="yellow"/>
          <w:lang w:val="en-US" w:eastAsia="zh-CN"/>
        </w:rPr>
        <w:t>0.0881、0.0880、0.0882、0.0881、0.0881、0.0882、0.0879、0.0884、0.0881和0.0881。平均值是0.0081。</w:t>
      </w:r>
      <w:bookmarkEnd w:id="0"/>
      <w:r>
        <w:rPr>
          <w:rFonts w:hint="eastAsia"/>
          <w:sz w:val="24"/>
          <w:szCs w:val="24"/>
          <w:lang w:val="en-US" w:eastAsia="zh-CN"/>
        </w:rPr>
        <w:t>根据贝塞尔公式计算实验标准偏差，可得相对实验标准偏差。因重复性引入的相对不确定度分量为</w:t>
      </w:r>
    </w:p>
    <w:p w14:paraId="675D532F">
      <w:pPr>
        <w:ind w:firstLine="420" w:firstLineChars="0"/>
        <w:rPr>
          <w:rFonts w:hint="default" w:eastAsiaTheme="minorEastAsia"/>
          <w:sz w:val="24"/>
          <w:szCs w:val="24"/>
          <w:highlight w:val="none"/>
          <w:lang w:val="en-US" w:eastAsia="zh-CN"/>
        </w:rPr>
      </w:pPr>
      <m:oMathPara>
        <m:oMath>
          <m:sSub>
            <m:sSubPr>
              <m:ctrlPr>
                <w:rPr>
                  <w:rFonts w:ascii="Cambria Math" w:hAnsi="Cambria Math"/>
                  <w:i/>
                  <w:sz w:val="24"/>
                  <w:szCs w:val="24"/>
                  <w:highlight w:val="none"/>
                  <w:lang w:val="en-US"/>
                </w:rPr>
              </m:ctrlPr>
            </m:sSubPr>
            <m:e>
              <m:r>
                <m:rPr/>
                <w:rPr>
                  <w:rFonts w:hint="default" w:ascii="Cambria Math" w:hAnsi="Cambria Math"/>
                  <w:sz w:val="24"/>
                  <w:szCs w:val="24"/>
                  <w:highlight w:val="none"/>
                  <w:lang w:val="en-US" w:eastAsia="zh-CN"/>
                </w:rPr>
                <m:t>u</m:t>
              </m:r>
              <m:ctrlPr>
                <w:rPr>
                  <w:rFonts w:ascii="Cambria Math" w:hAnsi="Cambria Math"/>
                  <w:i/>
                  <w:sz w:val="24"/>
                  <w:szCs w:val="24"/>
                  <w:highlight w:val="none"/>
                  <w:lang w:val="en-US"/>
                </w:rPr>
              </m:ctrlPr>
            </m:e>
            <m:sub>
              <m:r>
                <m:rPr>
                  <m:sty m:val="p"/>
                </m:rPr>
                <w:rPr>
                  <w:rFonts w:hint="default" w:ascii="Cambria Math" w:hAnsi="Cambria Math"/>
                  <w:sz w:val="24"/>
                  <w:szCs w:val="24"/>
                  <w:highlight w:val="none"/>
                  <w:lang w:val="en-US" w:eastAsia="zh-CN"/>
                </w:rPr>
                <m:t>rel, 1</m:t>
              </m:r>
              <m:ctrlPr>
                <w:rPr>
                  <w:rFonts w:ascii="Cambria Math" w:hAnsi="Cambria Math"/>
                  <w:i/>
                  <w:sz w:val="24"/>
                  <w:szCs w:val="24"/>
                  <w:highlight w:val="none"/>
                  <w:lang w:val="en-US"/>
                </w:rPr>
              </m:ctrlPr>
            </m:sub>
          </m:sSub>
          <m:r>
            <m:rPr/>
            <w:rPr>
              <w:rFonts w:hint="default" w:ascii="Cambria Math" w:hAnsi="Cambria Math"/>
              <w:sz w:val="24"/>
              <w:szCs w:val="24"/>
              <w:highlight w:val="none"/>
              <w:lang w:val="en-US" w:eastAsia="zh-CN"/>
            </w:rPr>
            <m:t>=</m:t>
          </m:r>
          <m:f>
            <m:fPr>
              <m:ctrlPr>
                <w:rPr>
                  <w:rFonts w:hint="default" w:ascii="Cambria Math" w:hAnsi="Cambria Math"/>
                  <w:i w:val="0"/>
                  <w:iCs/>
                  <w:sz w:val="24"/>
                  <w:szCs w:val="24"/>
                  <w:highlight w:val="none"/>
                  <w:lang w:val="en-US" w:eastAsia="zh-CN"/>
                </w:rPr>
              </m:ctrlPr>
            </m:fPr>
            <m:num>
              <m:r>
                <m:rPr>
                  <m:sty m:val="p"/>
                </m:rPr>
                <w:rPr>
                  <w:rFonts w:hint="default" w:ascii="Cambria Math" w:hAnsi="Cambria Math"/>
                  <w:sz w:val="24"/>
                  <w:szCs w:val="24"/>
                  <w:highlight w:val="none"/>
                  <w:lang w:val="en-US" w:eastAsia="zh-CN"/>
                </w:rPr>
                <m:t>STDEV</m:t>
              </m:r>
              <m:ctrlPr>
                <w:rPr>
                  <w:rFonts w:hint="default" w:ascii="Cambria Math" w:hAnsi="Cambria Math"/>
                  <w:i w:val="0"/>
                  <w:iCs/>
                  <w:sz w:val="24"/>
                  <w:szCs w:val="24"/>
                  <w:highlight w:val="none"/>
                  <w:lang w:val="en-US" w:eastAsia="zh-CN"/>
                </w:rPr>
              </m:ctrlPr>
            </m:num>
            <m:den>
              <m:r>
                <m:rPr>
                  <m:sty m:val="p"/>
                </m:rPr>
                <w:rPr>
                  <w:rFonts w:hint="default" w:ascii="Cambria Math" w:hAnsi="Cambria Math"/>
                  <w:sz w:val="24"/>
                  <w:szCs w:val="24"/>
                  <w:highlight w:val="none"/>
                  <w:lang w:val="en-US" w:eastAsia="zh-CN"/>
                </w:rPr>
                <m:t>AVERAGE</m:t>
              </m:r>
              <m:ctrlPr>
                <w:rPr>
                  <w:rFonts w:hint="default" w:ascii="Cambria Math" w:hAnsi="Cambria Math"/>
                  <w:i w:val="0"/>
                  <w:iCs/>
                  <w:sz w:val="24"/>
                  <w:szCs w:val="24"/>
                  <w:highlight w:val="none"/>
                  <w:lang w:val="en-US" w:eastAsia="zh-CN"/>
                </w:rPr>
              </m:ctrlPr>
            </m:den>
          </m:f>
          <m:r>
            <m:rPr/>
            <w:rPr>
              <w:rFonts w:hint="default" w:ascii="Cambria Math" w:hAnsi="Cambria Math"/>
              <w:sz w:val="24"/>
              <w:szCs w:val="24"/>
              <w:highlight w:val="none"/>
              <w:lang w:val="en-US" w:eastAsia="zh-CN"/>
            </w:rPr>
            <m:t>=0.15%</m:t>
          </m:r>
        </m:oMath>
      </m:oMathPara>
    </w:p>
    <w:p w14:paraId="1B963EB4">
      <w:pPr>
        <w:ind w:firstLine="420" w:firstLineChars="0"/>
        <w:rPr>
          <w:rFonts w:hint="default"/>
          <w:sz w:val="24"/>
          <w:szCs w:val="24"/>
          <w:lang w:val="en-US" w:eastAsia="zh-CN"/>
        </w:rPr>
      </w:pPr>
    </w:p>
    <w:p w14:paraId="72E75829">
      <w:pPr>
        <w:rPr>
          <w:rFonts w:hint="eastAsia"/>
          <w:sz w:val="24"/>
          <w:szCs w:val="24"/>
          <w:lang w:val="en-US" w:eastAsia="zh-CN"/>
        </w:rPr>
      </w:pPr>
      <w:r>
        <w:rPr>
          <w:rFonts w:hint="eastAsia"/>
          <w:sz w:val="24"/>
          <w:szCs w:val="24"/>
          <w:lang w:val="en-US" w:eastAsia="zh-CN"/>
        </w:rPr>
        <w:t>3.2  光度探头的光谱失配误差</w:t>
      </w:r>
    </w:p>
    <w:p w14:paraId="0806C872">
      <w:pPr>
        <w:ind w:firstLine="420" w:firstLineChars="0"/>
        <w:rPr>
          <w:rFonts w:hint="eastAsia"/>
          <w:sz w:val="24"/>
          <w:szCs w:val="24"/>
          <w:lang w:val="en-US" w:eastAsia="zh-CN"/>
        </w:rPr>
      </w:pPr>
      <w:r>
        <w:rPr>
          <w:rFonts w:hint="eastAsia"/>
          <w:sz w:val="24"/>
          <w:szCs w:val="24"/>
          <w:lang w:val="en-US" w:eastAsia="zh-CN"/>
        </w:rPr>
        <w:t>由于光通量计的光度探测器的光谱响应度与光谱光视效率函数存在差异，可能存在光谱失配的系统偏差。根据经验估计系统偏差不大于</w:t>
      </w:r>
      <w:r>
        <w:rPr>
          <w:rFonts w:hint="eastAsia" w:ascii="宋体" w:hAnsi="宋体" w:eastAsia="宋体" w:cs="宋体"/>
          <w:sz w:val="24"/>
          <w:szCs w:val="24"/>
          <w:highlight w:val="none"/>
          <w:lang w:val="en-US" w:eastAsia="zh-CN"/>
        </w:rPr>
        <w:t>±</w:t>
      </w:r>
      <w:r>
        <w:rPr>
          <w:rFonts w:hint="eastAsia"/>
          <w:sz w:val="24"/>
          <w:szCs w:val="24"/>
          <w:lang w:val="en-US" w:eastAsia="zh-CN"/>
        </w:rPr>
        <w:t>1%，考虑矩形分布，则因光谱失配引入的相对不确定度分量是</w:t>
      </w:r>
    </w:p>
    <w:p w14:paraId="4DBDEA3B">
      <w:pPr>
        <w:ind w:firstLine="420" w:firstLineChars="0"/>
        <w:rPr>
          <w:rFonts w:hint="default" w:hAnsi="Cambria Math"/>
          <w:i w:val="0"/>
          <w:sz w:val="24"/>
          <w:szCs w:val="24"/>
          <w:highlight w:val="none"/>
          <w:lang w:val="en-US" w:eastAsia="zh-CN"/>
        </w:rPr>
      </w:pPr>
      <m:oMathPara>
        <m:oMath>
          <m:sSub>
            <m:sSubPr>
              <m:ctrlPr>
                <w:rPr>
                  <w:rFonts w:ascii="Cambria Math" w:hAnsi="Cambria Math"/>
                  <w:i/>
                  <w:sz w:val="24"/>
                  <w:szCs w:val="24"/>
                  <w:highlight w:val="none"/>
                  <w:lang w:val="en-US"/>
                </w:rPr>
              </m:ctrlPr>
            </m:sSubPr>
            <m:e>
              <m:r>
                <m:rPr/>
                <w:rPr>
                  <w:rFonts w:hint="default" w:ascii="Cambria Math" w:hAnsi="Cambria Math"/>
                  <w:sz w:val="24"/>
                  <w:szCs w:val="24"/>
                  <w:highlight w:val="none"/>
                  <w:lang w:val="en-US" w:eastAsia="zh-CN"/>
                </w:rPr>
                <m:t>u</m:t>
              </m:r>
              <m:ctrlPr>
                <w:rPr>
                  <w:rFonts w:ascii="Cambria Math" w:hAnsi="Cambria Math"/>
                  <w:i/>
                  <w:sz w:val="24"/>
                  <w:szCs w:val="24"/>
                  <w:highlight w:val="none"/>
                  <w:lang w:val="en-US"/>
                </w:rPr>
              </m:ctrlPr>
            </m:e>
            <m:sub>
              <m:r>
                <m:rPr>
                  <m:sty m:val="p"/>
                </m:rPr>
                <w:rPr>
                  <w:rFonts w:hint="default" w:ascii="Cambria Math" w:hAnsi="Cambria Math"/>
                  <w:sz w:val="24"/>
                  <w:szCs w:val="24"/>
                  <w:highlight w:val="none"/>
                  <w:lang w:val="en-US" w:eastAsia="zh-CN"/>
                </w:rPr>
                <m:t>rel, 2</m:t>
              </m:r>
              <m:ctrlPr>
                <w:rPr>
                  <w:rFonts w:ascii="Cambria Math" w:hAnsi="Cambria Math"/>
                  <w:i/>
                  <w:sz w:val="24"/>
                  <w:szCs w:val="24"/>
                  <w:highlight w:val="none"/>
                  <w:lang w:val="en-US"/>
                </w:rPr>
              </m:ctrlPr>
            </m:sub>
          </m:sSub>
          <m:r>
            <m:rPr/>
            <w:rPr>
              <w:rFonts w:hint="default" w:ascii="Cambria Math" w:hAnsi="Cambria Math"/>
              <w:sz w:val="24"/>
              <w:szCs w:val="24"/>
              <w:highlight w:val="none"/>
              <w:lang w:val="en-US" w:eastAsia="zh-CN"/>
            </w:rPr>
            <m:t>=</m:t>
          </m:r>
          <m:f>
            <m:fPr>
              <m:ctrlPr>
                <w:rPr>
                  <w:rFonts w:hint="default" w:ascii="Cambria Math" w:hAnsi="Cambria Math"/>
                  <w:i/>
                  <w:sz w:val="24"/>
                  <w:szCs w:val="24"/>
                  <w:highlight w:val="none"/>
                  <w:lang w:val="en-US" w:eastAsia="zh-CN"/>
                </w:rPr>
              </m:ctrlPr>
            </m:fPr>
            <m:num>
              <m:r>
                <m:rPr/>
                <w:rPr>
                  <w:rFonts w:hint="default" w:ascii="Cambria Math" w:hAnsi="Cambria Math"/>
                  <w:sz w:val="24"/>
                  <w:szCs w:val="24"/>
                  <w:highlight w:val="none"/>
                  <w:lang w:val="en-US" w:eastAsia="zh-CN"/>
                </w:rPr>
                <m:t>1%</m:t>
              </m:r>
              <m:ctrlPr>
                <w:rPr>
                  <w:rFonts w:hint="default" w:ascii="Cambria Math" w:hAnsi="Cambria Math"/>
                  <w:i/>
                  <w:sz w:val="24"/>
                  <w:szCs w:val="24"/>
                  <w:highlight w:val="none"/>
                  <w:lang w:val="en-US" w:eastAsia="zh-CN"/>
                </w:rPr>
              </m:ctrlPr>
            </m:num>
            <m:den>
              <m:rad>
                <m:radPr>
                  <m:degHide m:val="1"/>
                  <m:ctrlPr>
                    <w:rPr>
                      <w:rFonts w:hint="default" w:ascii="Cambria Math" w:hAnsi="Cambria Math"/>
                      <w:i/>
                      <w:sz w:val="24"/>
                      <w:szCs w:val="24"/>
                      <w:highlight w:val="none"/>
                      <w:lang w:val="en-US" w:eastAsia="zh-CN"/>
                    </w:rPr>
                  </m:ctrlPr>
                </m:radPr>
                <m:deg>
                  <m:ctrlPr>
                    <w:rPr>
                      <w:rFonts w:hint="default" w:ascii="Cambria Math" w:hAnsi="Cambria Math"/>
                      <w:i/>
                      <w:sz w:val="24"/>
                      <w:szCs w:val="24"/>
                      <w:highlight w:val="none"/>
                      <w:lang w:val="en-US" w:eastAsia="zh-CN"/>
                    </w:rPr>
                  </m:ctrlPr>
                </m:deg>
                <m:e>
                  <m:r>
                    <m:rPr/>
                    <w:rPr>
                      <w:rFonts w:hint="default" w:ascii="Cambria Math" w:hAnsi="Cambria Math"/>
                      <w:sz w:val="24"/>
                      <w:szCs w:val="24"/>
                      <w:highlight w:val="none"/>
                      <w:lang w:val="en-US" w:eastAsia="zh-CN"/>
                    </w:rPr>
                    <m:t>3</m:t>
                  </m:r>
                  <m:ctrlPr>
                    <w:rPr>
                      <w:rFonts w:hint="default" w:ascii="Cambria Math" w:hAnsi="Cambria Math"/>
                      <w:i/>
                      <w:sz w:val="24"/>
                      <w:szCs w:val="24"/>
                      <w:highlight w:val="none"/>
                      <w:lang w:val="en-US" w:eastAsia="zh-CN"/>
                    </w:rPr>
                  </m:ctrlPr>
                </m:e>
              </m:rad>
              <m:ctrlPr>
                <w:rPr>
                  <w:rFonts w:hint="default" w:ascii="Cambria Math" w:hAnsi="Cambria Math"/>
                  <w:i/>
                  <w:sz w:val="24"/>
                  <w:szCs w:val="24"/>
                  <w:highlight w:val="none"/>
                  <w:lang w:val="en-US" w:eastAsia="zh-CN"/>
                </w:rPr>
              </m:ctrlPr>
            </m:den>
          </m:f>
          <m:r>
            <m:rPr/>
            <w:rPr>
              <w:rFonts w:hint="default" w:ascii="Cambria Math" w:hAnsi="Cambria Math"/>
              <w:sz w:val="24"/>
              <w:szCs w:val="24"/>
              <w:highlight w:val="none"/>
              <w:lang w:val="en-US" w:eastAsia="zh-CN"/>
            </w:rPr>
            <m:t>=0</m:t>
          </m:r>
          <m:r>
            <m:rPr/>
            <w:rPr>
              <w:rFonts w:hint="eastAsia" w:ascii="Cambria Math" w:hAnsi="Cambria Math"/>
              <w:sz w:val="24"/>
              <w:szCs w:val="24"/>
              <w:highlight w:val="none"/>
              <w:lang w:val="en-US" w:eastAsia="zh-CN"/>
            </w:rPr>
            <m:t>.</m:t>
          </m:r>
          <m:r>
            <m:rPr/>
            <w:rPr>
              <w:rFonts w:hint="default" w:ascii="Cambria Math" w:hAnsi="Cambria Math"/>
              <w:sz w:val="24"/>
              <w:szCs w:val="24"/>
              <w:highlight w:val="none"/>
              <w:lang w:val="en-US" w:eastAsia="zh-CN"/>
            </w:rPr>
            <m:t>58%</m:t>
          </m:r>
        </m:oMath>
      </m:oMathPara>
    </w:p>
    <w:p w14:paraId="54CDC49E">
      <w:pPr>
        <w:ind w:firstLine="420" w:firstLineChars="0"/>
        <w:rPr>
          <w:rFonts w:hint="default" w:hAnsi="Cambria Math"/>
          <w:i w:val="0"/>
          <w:sz w:val="24"/>
          <w:szCs w:val="24"/>
          <w:highlight w:val="none"/>
          <w:lang w:val="en-US" w:eastAsia="zh-CN"/>
        </w:rPr>
      </w:pPr>
    </w:p>
    <w:p w14:paraId="3CD97CDB">
      <w:pPr>
        <w:rPr>
          <w:rFonts w:hint="eastAsia"/>
          <w:sz w:val="24"/>
          <w:szCs w:val="24"/>
          <w:lang w:val="en-US" w:eastAsia="zh-CN"/>
        </w:rPr>
      </w:pPr>
      <w:r>
        <w:rPr>
          <w:rFonts w:hint="eastAsia"/>
          <w:sz w:val="24"/>
          <w:szCs w:val="24"/>
          <w:lang w:val="en-US" w:eastAsia="zh-CN"/>
        </w:rPr>
        <w:t>3.3  非线性因素</w:t>
      </w:r>
    </w:p>
    <w:p w14:paraId="200BA6DE">
      <w:pPr>
        <w:ind w:firstLine="420" w:firstLineChars="0"/>
        <w:rPr>
          <w:rFonts w:hint="eastAsia"/>
          <w:sz w:val="24"/>
          <w:szCs w:val="24"/>
          <w:lang w:val="en-US" w:eastAsia="zh-CN"/>
        </w:rPr>
      </w:pPr>
      <w:r>
        <w:rPr>
          <w:rFonts w:hint="eastAsia"/>
          <w:sz w:val="24"/>
          <w:szCs w:val="24"/>
          <w:lang w:val="en-US" w:eastAsia="zh-CN"/>
        </w:rPr>
        <w:t>光通量计的光度探测器和IV放大电路可能存在非线性影响，根据经验估计系统偏差不大于</w:t>
      </w:r>
      <w:r>
        <w:rPr>
          <w:rFonts w:hint="eastAsia" w:ascii="宋体" w:hAnsi="宋体" w:eastAsia="宋体" w:cs="宋体"/>
          <w:sz w:val="24"/>
          <w:szCs w:val="24"/>
          <w:highlight w:val="none"/>
          <w:lang w:val="en-US" w:eastAsia="zh-CN"/>
        </w:rPr>
        <w:t>±</w:t>
      </w:r>
      <w:r>
        <w:rPr>
          <w:rFonts w:hint="eastAsia"/>
          <w:sz w:val="24"/>
          <w:szCs w:val="24"/>
          <w:lang w:val="en-US" w:eastAsia="zh-CN"/>
        </w:rPr>
        <w:t>0.1%，考虑正态分布，则因非线性引入的不确定度分量是</w:t>
      </w:r>
    </w:p>
    <w:p w14:paraId="4653F391">
      <w:pPr>
        <w:ind w:firstLine="420" w:firstLineChars="0"/>
        <w:rPr>
          <w:rFonts w:hint="default" w:hAnsi="Cambria Math"/>
          <w:i w:val="0"/>
          <w:sz w:val="24"/>
          <w:szCs w:val="24"/>
          <w:highlight w:val="none"/>
          <w:lang w:val="en-US" w:eastAsia="zh-CN"/>
        </w:rPr>
      </w:pPr>
      <m:oMathPara>
        <m:oMath>
          <m:sSub>
            <m:sSubPr>
              <m:ctrlPr>
                <w:rPr>
                  <w:rFonts w:ascii="Cambria Math" w:hAnsi="Cambria Math"/>
                  <w:i/>
                  <w:sz w:val="24"/>
                  <w:szCs w:val="24"/>
                  <w:highlight w:val="none"/>
                  <w:lang w:val="en-US"/>
                </w:rPr>
              </m:ctrlPr>
            </m:sSubPr>
            <m:e>
              <m:r>
                <m:rPr/>
                <w:rPr>
                  <w:rFonts w:hint="default" w:ascii="Cambria Math" w:hAnsi="Cambria Math"/>
                  <w:sz w:val="24"/>
                  <w:szCs w:val="24"/>
                  <w:highlight w:val="none"/>
                  <w:lang w:val="en-US" w:eastAsia="zh-CN"/>
                </w:rPr>
                <m:t>u</m:t>
              </m:r>
              <m:ctrlPr>
                <w:rPr>
                  <w:rFonts w:ascii="Cambria Math" w:hAnsi="Cambria Math"/>
                  <w:i/>
                  <w:sz w:val="24"/>
                  <w:szCs w:val="24"/>
                  <w:highlight w:val="none"/>
                  <w:lang w:val="en-US"/>
                </w:rPr>
              </m:ctrlPr>
            </m:e>
            <m:sub>
              <m:r>
                <m:rPr>
                  <m:sty m:val="p"/>
                </m:rPr>
                <w:rPr>
                  <w:rFonts w:hint="default" w:ascii="Cambria Math" w:hAnsi="Cambria Math"/>
                  <w:sz w:val="24"/>
                  <w:szCs w:val="24"/>
                  <w:highlight w:val="none"/>
                  <w:lang w:val="en-US" w:eastAsia="zh-CN"/>
                </w:rPr>
                <m:t>rel, 3</m:t>
              </m:r>
              <m:ctrlPr>
                <w:rPr>
                  <w:rFonts w:ascii="Cambria Math" w:hAnsi="Cambria Math"/>
                  <w:i/>
                  <w:sz w:val="24"/>
                  <w:szCs w:val="24"/>
                  <w:highlight w:val="none"/>
                  <w:lang w:val="en-US"/>
                </w:rPr>
              </m:ctrlPr>
            </m:sub>
          </m:sSub>
          <m:r>
            <m:rPr/>
            <w:rPr>
              <w:rFonts w:hint="default" w:ascii="Cambria Math" w:hAnsi="Cambria Math"/>
              <w:sz w:val="24"/>
              <w:szCs w:val="24"/>
              <w:highlight w:val="none"/>
              <w:lang w:val="en-US" w:eastAsia="zh-CN"/>
            </w:rPr>
            <m:t>=</m:t>
          </m:r>
          <m:f>
            <m:fPr>
              <m:ctrlPr>
                <w:rPr>
                  <w:rFonts w:hint="default" w:ascii="Cambria Math" w:hAnsi="Cambria Math"/>
                  <w:i/>
                  <w:sz w:val="24"/>
                  <w:szCs w:val="24"/>
                  <w:highlight w:val="none"/>
                  <w:lang w:val="en-US" w:eastAsia="zh-CN"/>
                </w:rPr>
              </m:ctrlPr>
            </m:fPr>
            <m:num>
              <m:r>
                <m:rPr/>
                <w:rPr>
                  <w:rFonts w:hint="default" w:ascii="Cambria Math" w:hAnsi="Cambria Math"/>
                  <w:sz w:val="24"/>
                  <w:szCs w:val="24"/>
                  <w:highlight w:val="none"/>
                  <w:lang w:val="en-US" w:eastAsia="zh-CN"/>
                </w:rPr>
                <m:t>0</m:t>
              </m:r>
              <m:r>
                <m:rPr/>
                <w:rPr>
                  <w:rFonts w:hint="eastAsia" w:ascii="Cambria Math" w:hAnsi="Cambria Math"/>
                  <w:sz w:val="24"/>
                  <w:szCs w:val="24"/>
                  <w:highlight w:val="none"/>
                  <w:lang w:val="en-US" w:eastAsia="zh-CN"/>
                </w:rPr>
                <m:t>.</m:t>
              </m:r>
              <m:r>
                <m:rPr/>
                <w:rPr>
                  <w:rFonts w:hint="default" w:ascii="Cambria Math" w:hAnsi="Cambria Math"/>
                  <w:sz w:val="24"/>
                  <w:szCs w:val="24"/>
                  <w:highlight w:val="none"/>
                  <w:lang w:val="en-US" w:eastAsia="zh-CN"/>
                </w:rPr>
                <m:t>1%</m:t>
              </m:r>
              <m:ctrlPr>
                <w:rPr>
                  <w:rFonts w:hint="default" w:ascii="Cambria Math" w:hAnsi="Cambria Math"/>
                  <w:i/>
                  <w:sz w:val="24"/>
                  <w:szCs w:val="24"/>
                  <w:highlight w:val="none"/>
                  <w:lang w:val="en-US" w:eastAsia="zh-CN"/>
                </w:rPr>
              </m:ctrlPr>
            </m:num>
            <m:den>
              <m:r>
                <m:rPr/>
                <w:rPr>
                  <w:rFonts w:hint="default" w:ascii="Cambria Math" w:hAnsi="Cambria Math"/>
                  <w:sz w:val="24"/>
                  <w:szCs w:val="24"/>
                  <w:highlight w:val="none"/>
                  <w:lang w:val="en-US" w:eastAsia="zh-CN"/>
                </w:rPr>
                <m:t>2</m:t>
              </m:r>
              <m:ctrlPr>
                <w:rPr>
                  <w:rFonts w:hint="default" w:ascii="Cambria Math" w:hAnsi="Cambria Math"/>
                  <w:i/>
                  <w:sz w:val="24"/>
                  <w:szCs w:val="24"/>
                  <w:highlight w:val="none"/>
                  <w:lang w:val="en-US" w:eastAsia="zh-CN"/>
                </w:rPr>
              </m:ctrlPr>
            </m:den>
          </m:f>
          <m:r>
            <m:rPr/>
            <w:rPr>
              <w:rFonts w:hint="default" w:ascii="Cambria Math" w:hAnsi="Cambria Math"/>
              <w:sz w:val="24"/>
              <w:szCs w:val="24"/>
              <w:highlight w:val="none"/>
              <w:lang w:val="en-US" w:eastAsia="zh-CN"/>
            </w:rPr>
            <m:t>=0</m:t>
          </m:r>
          <m:r>
            <m:rPr/>
            <w:rPr>
              <w:rFonts w:hint="eastAsia" w:ascii="Cambria Math" w:hAnsi="Cambria Math"/>
              <w:sz w:val="24"/>
              <w:szCs w:val="24"/>
              <w:highlight w:val="none"/>
              <w:lang w:val="en-US" w:eastAsia="zh-CN"/>
            </w:rPr>
            <m:t>.</m:t>
          </m:r>
          <m:r>
            <m:rPr/>
            <w:rPr>
              <w:rFonts w:hint="default" w:ascii="Cambria Math" w:hAnsi="Cambria Math"/>
              <w:sz w:val="24"/>
              <w:szCs w:val="24"/>
              <w:highlight w:val="none"/>
              <w:lang w:val="en-US" w:eastAsia="zh-CN"/>
            </w:rPr>
            <m:t>05%</m:t>
          </m:r>
        </m:oMath>
      </m:oMathPara>
    </w:p>
    <w:p w14:paraId="495DD4A1">
      <w:pPr>
        <w:ind w:firstLine="420" w:firstLineChars="0"/>
        <w:rPr>
          <w:rFonts w:hint="default" w:hAnsi="Cambria Math"/>
          <w:i w:val="0"/>
          <w:sz w:val="24"/>
          <w:szCs w:val="24"/>
          <w:highlight w:val="none"/>
          <w:lang w:val="en-US" w:eastAsia="zh-CN"/>
        </w:rPr>
      </w:pPr>
    </w:p>
    <w:p w14:paraId="623F59C4">
      <w:pPr>
        <w:rPr>
          <w:rFonts w:hint="eastAsia"/>
          <w:sz w:val="24"/>
          <w:szCs w:val="24"/>
          <w:lang w:val="en-US" w:eastAsia="zh-CN"/>
        </w:rPr>
      </w:pPr>
      <w:r>
        <w:rPr>
          <w:rFonts w:hint="eastAsia"/>
          <w:sz w:val="24"/>
          <w:szCs w:val="24"/>
          <w:lang w:val="en-US" w:eastAsia="zh-CN"/>
        </w:rPr>
        <w:t>3.4  积分球的空间响应不均匀性的影响</w:t>
      </w:r>
    </w:p>
    <w:p w14:paraId="3613C9B9">
      <w:pPr>
        <w:ind w:firstLine="420" w:firstLineChars="0"/>
        <w:rPr>
          <w:rFonts w:hint="eastAsia"/>
          <w:sz w:val="24"/>
          <w:szCs w:val="24"/>
          <w:lang w:val="en-US" w:eastAsia="zh-CN"/>
        </w:rPr>
      </w:pPr>
      <w:r>
        <w:rPr>
          <w:rFonts w:hint="eastAsia"/>
          <w:sz w:val="24"/>
          <w:szCs w:val="24"/>
          <w:lang w:val="en-US" w:eastAsia="zh-CN"/>
        </w:rPr>
        <w:t>考虑到入射的积分球开口的光束到达积分球内部的第一反射区域，和实际应用测量时的区域存在差异，考虑到差异对校准结果存在影响，根据经验该系统偏差不大于</w:t>
      </w:r>
      <w:r>
        <w:rPr>
          <w:rFonts w:hint="eastAsia" w:ascii="宋体" w:hAnsi="宋体" w:eastAsia="宋体" w:cs="宋体"/>
          <w:sz w:val="24"/>
          <w:szCs w:val="24"/>
          <w:highlight w:val="none"/>
          <w:lang w:val="en-US" w:eastAsia="zh-CN"/>
        </w:rPr>
        <w:t>±</w:t>
      </w:r>
      <w:r>
        <w:rPr>
          <w:rFonts w:hint="eastAsia"/>
          <w:sz w:val="24"/>
          <w:szCs w:val="24"/>
          <w:lang w:val="en-US" w:eastAsia="zh-CN"/>
        </w:rPr>
        <w:t>2%，考虑正态分布，则因空间响应不均匀性引入的不确定度分量是</w:t>
      </w:r>
    </w:p>
    <w:p w14:paraId="61FB52A3">
      <w:pPr>
        <w:ind w:firstLine="420" w:firstLineChars="0"/>
        <w:rPr>
          <w:rFonts w:hint="eastAsia"/>
          <w:sz w:val="24"/>
          <w:szCs w:val="24"/>
          <w:lang w:val="en-US" w:eastAsia="zh-CN"/>
        </w:rPr>
      </w:pPr>
      <m:oMathPara>
        <m:oMath>
          <m:sSub>
            <m:sSubPr>
              <m:ctrlPr>
                <w:rPr>
                  <w:rFonts w:ascii="Cambria Math" w:hAnsi="Cambria Math"/>
                  <w:i/>
                  <w:sz w:val="24"/>
                  <w:szCs w:val="24"/>
                  <w:highlight w:val="none"/>
                  <w:lang w:val="en-US"/>
                </w:rPr>
              </m:ctrlPr>
            </m:sSubPr>
            <m:e>
              <m:r>
                <m:rPr/>
                <w:rPr>
                  <w:rFonts w:hint="default" w:ascii="Cambria Math" w:hAnsi="Cambria Math"/>
                  <w:sz w:val="24"/>
                  <w:szCs w:val="24"/>
                  <w:highlight w:val="none"/>
                  <w:lang w:val="en-US" w:eastAsia="zh-CN"/>
                </w:rPr>
                <m:t>u</m:t>
              </m:r>
              <m:ctrlPr>
                <w:rPr>
                  <w:rFonts w:ascii="Cambria Math" w:hAnsi="Cambria Math"/>
                  <w:i/>
                  <w:sz w:val="24"/>
                  <w:szCs w:val="24"/>
                  <w:highlight w:val="none"/>
                  <w:lang w:val="en-US"/>
                </w:rPr>
              </m:ctrlPr>
            </m:e>
            <m:sub>
              <m:r>
                <m:rPr>
                  <m:sty m:val="p"/>
                </m:rPr>
                <w:rPr>
                  <w:rFonts w:hint="default" w:ascii="Cambria Math" w:hAnsi="Cambria Math"/>
                  <w:sz w:val="24"/>
                  <w:szCs w:val="24"/>
                  <w:highlight w:val="none"/>
                  <w:lang w:val="en-US" w:eastAsia="zh-CN"/>
                </w:rPr>
                <m:t>rel, 4</m:t>
              </m:r>
              <m:ctrlPr>
                <w:rPr>
                  <w:rFonts w:ascii="Cambria Math" w:hAnsi="Cambria Math"/>
                  <w:i/>
                  <w:sz w:val="24"/>
                  <w:szCs w:val="24"/>
                  <w:highlight w:val="none"/>
                  <w:lang w:val="en-US"/>
                </w:rPr>
              </m:ctrlPr>
            </m:sub>
          </m:sSub>
          <m:r>
            <m:rPr/>
            <w:rPr>
              <w:rFonts w:hint="default" w:ascii="Cambria Math" w:hAnsi="Cambria Math"/>
              <w:sz w:val="24"/>
              <w:szCs w:val="24"/>
              <w:highlight w:val="none"/>
              <w:lang w:val="en-US" w:eastAsia="zh-CN"/>
            </w:rPr>
            <m:t>=</m:t>
          </m:r>
          <m:f>
            <m:fPr>
              <m:ctrlPr>
                <w:rPr>
                  <w:rFonts w:hint="default" w:ascii="Cambria Math" w:hAnsi="Cambria Math"/>
                  <w:i/>
                  <w:sz w:val="24"/>
                  <w:szCs w:val="24"/>
                  <w:highlight w:val="none"/>
                  <w:lang w:val="en-US" w:eastAsia="zh-CN"/>
                </w:rPr>
              </m:ctrlPr>
            </m:fPr>
            <m:num>
              <m:r>
                <m:rPr/>
                <w:rPr>
                  <w:rFonts w:hint="default" w:ascii="Cambria Math" w:hAnsi="Cambria Math"/>
                  <w:sz w:val="24"/>
                  <w:szCs w:val="24"/>
                  <w:highlight w:val="none"/>
                  <w:lang w:val="en-US" w:eastAsia="zh-CN"/>
                </w:rPr>
                <m:t>2%</m:t>
              </m:r>
              <m:ctrlPr>
                <w:rPr>
                  <w:rFonts w:hint="default" w:ascii="Cambria Math" w:hAnsi="Cambria Math"/>
                  <w:i/>
                  <w:sz w:val="24"/>
                  <w:szCs w:val="24"/>
                  <w:highlight w:val="none"/>
                  <w:lang w:val="en-US" w:eastAsia="zh-CN"/>
                </w:rPr>
              </m:ctrlPr>
            </m:num>
            <m:den>
              <m:r>
                <m:rPr/>
                <w:rPr>
                  <w:rFonts w:hint="default" w:ascii="Cambria Math" w:hAnsi="Cambria Math"/>
                  <w:sz w:val="24"/>
                  <w:szCs w:val="24"/>
                  <w:highlight w:val="none"/>
                  <w:lang w:val="en-US" w:eastAsia="zh-CN"/>
                </w:rPr>
                <m:t>2</m:t>
              </m:r>
              <m:ctrlPr>
                <w:rPr>
                  <w:rFonts w:hint="default" w:ascii="Cambria Math" w:hAnsi="Cambria Math"/>
                  <w:i/>
                  <w:sz w:val="24"/>
                  <w:szCs w:val="24"/>
                  <w:highlight w:val="none"/>
                  <w:lang w:val="en-US" w:eastAsia="zh-CN"/>
                </w:rPr>
              </m:ctrlPr>
            </m:den>
          </m:f>
          <m:r>
            <m:rPr/>
            <w:rPr>
              <w:rFonts w:hint="default" w:ascii="Cambria Math" w:hAnsi="Cambria Math"/>
              <w:sz w:val="24"/>
              <w:szCs w:val="24"/>
              <w:highlight w:val="none"/>
              <w:lang w:val="en-US" w:eastAsia="zh-CN"/>
            </w:rPr>
            <m:t>=1%</m:t>
          </m:r>
        </m:oMath>
      </m:oMathPara>
    </w:p>
    <w:p w14:paraId="1622CA22">
      <w:pPr>
        <w:rPr>
          <w:rFonts w:hint="eastAsia"/>
          <w:sz w:val="24"/>
          <w:szCs w:val="24"/>
          <w:lang w:val="en-US" w:eastAsia="zh-CN"/>
        </w:rPr>
      </w:pPr>
    </w:p>
    <w:p w14:paraId="3858EB3A">
      <w:pPr>
        <w:rPr>
          <w:rFonts w:hint="eastAsia"/>
          <w:sz w:val="24"/>
          <w:szCs w:val="24"/>
          <w:lang w:val="en-US" w:eastAsia="zh-CN"/>
        </w:rPr>
      </w:pPr>
      <w:r>
        <w:rPr>
          <w:rFonts w:hint="eastAsia"/>
          <w:sz w:val="24"/>
          <w:szCs w:val="24"/>
          <w:lang w:val="en-US" w:eastAsia="zh-CN"/>
        </w:rPr>
        <w:t>4 发光强度标准灯的发光强度值的不确定度分量</w:t>
      </w:r>
      <w:r>
        <w:rPr>
          <w:rFonts w:hint="eastAsia"/>
          <w:sz w:val="24"/>
          <w:szCs w:val="24"/>
          <w:highlight w:val="none"/>
          <w:lang w:val="en-US" w:eastAsia="zh-CN"/>
        </w:rPr>
        <w:t>评定</w:t>
      </w:r>
    </w:p>
    <w:p w14:paraId="0728530F">
      <w:pPr>
        <w:ind w:firstLine="420" w:firstLineChars="0"/>
        <w:rPr>
          <w:rFonts w:hint="default"/>
          <w:sz w:val="24"/>
          <w:szCs w:val="24"/>
          <w:lang w:val="en-US" w:eastAsia="zh-CN"/>
        </w:rPr>
      </w:pPr>
      <w:r>
        <w:rPr>
          <w:rFonts w:hint="eastAsia"/>
          <w:sz w:val="24"/>
          <w:szCs w:val="24"/>
          <w:lang w:val="en-US" w:eastAsia="zh-CN"/>
        </w:rPr>
        <w:t>使用BDQ8标准器，根据其检定证书，按一级标准灯其不确定度是0.8%（</w:t>
      </w:r>
      <w:r>
        <w:rPr>
          <w:rFonts w:hint="eastAsia"/>
          <w:i/>
          <w:iCs/>
          <w:sz w:val="24"/>
          <w:szCs w:val="24"/>
          <w:lang w:val="en-US" w:eastAsia="zh-CN"/>
        </w:rPr>
        <w:t>k</w:t>
      </w:r>
      <w:r>
        <w:rPr>
          <w:rFonts w:hint="eastAsia"/>
          <w:sz w:val="24"/>
          <w:szCs w:val="24"/>
          <w:lang w:val="en-US" w:eastAsia="zh-CN"/>
        </w:rPr>
        <w:t>=2），因此，因标准灯引入的相对标准不确定度分量</w:t>
      </w:r>
      <w:r>
        <w:rPr>
          <w:rFonts w:hint="eastAsia"/>
          <w:i/>
          <w:iCs/>
          <w:sz w:val="24"/>
          <w:szCs w:val="24"/>
          <w:lang w:val="en-US" w:eastAsia="zh-CN"/>
        </w:rPr>
        <w:t>u</w:t>
      </w:r>
      <w:r>
        <w:rPr>
          <w:rFonts w:hint="eastAsia"/>
          <w:sz w:val="24"/>
          <w:szCs w:val="24"/>
          <w:vertAlign w:val="subscript"/>
          <w:lang w:val="en-US" w:eastAsia="zh-CN"/>
        </w:rPr>
        <w:t>rel, 5</w:t>
      </w:r>
      <w:r>
        <w:rPr>
          <w:rFonts w:hint="eastAsia"/>
          <w:sz w:val="24"/>
          <w:szCs w:val="24"/>
          <w:lang w:val="en-US" w:eastAsia="zh-CN"/>
        </w:rPr>
        <w:t>=0.4%。</w:t>
      </w:r>
    </w:p>
    <w:p w14:paraId="1F72A971">
      <w:pPr>
        <w:rPr>
          <w:rFonts w:hint="default"/>
          <w:sz w:val="24"/>
          <w:szCs w:val="24"/>
          <w:lang w:val="en-US" w:eastAsia="zh-CN"/>
        </w:rPr>
      </w:pPr>
    </w:p>
    <w:p w14:paraId="4F9C136A">
      <w:pPr>
        <w:rPr>
          <w:rFonts w:hint="eastAsia"/>
          <w:sz w:val="24"/>
          <w:szCs w:val="24"/>
          <w:highlight w:val="none"/>
          <w:lang w:val="en-US" w:eastAsia="zh-CN"/>
        </w:rPr>
      </w:pPr>
      <w:r>
        <w:rPr>
          <w:rFonts w:hint="eastAsia"/>
          <w:sz w:val="24"/>
          <w:szCs w:val="24"/>
          <w:lang w:val="en-US" w:eastAsia="zh-CN"/>
        </w:rPr>
        <w:t>5 距离的不确定度分量</w:t>
      </w:r>
      <w:r>
        <w:rPr>
          <w:rFonts w:hint="eastAsia"/>
          <w:sz w:val="24"/>
          <w:szCs w:val="24"/>
          <w:highlight w:val="none"/>
          <w:lang w:val="en-US" w:eastAsia="zh-CN"/>
        </w:rPr>
        <w:t>评定</w:t>
      </w:r>
    </w:p>
    <w:p w14:paraId="0D84A843">
      <w:pPr>
        <w:ind w:firstLine="420" w:firstLineChars="0"/>
        <w:rPr>
          <w:rFonts w:hint="eastAsia"/>
          <w:sz w:val="24"/>
          <w:szCs w:val="24"/>
          <w:highlight w:val="none"/>
          <w:lang w:val="en-US" w:eastAsia="zh-CN"/>
        </w:rPr>
      </w:pPr>
      <w:r>
        <w:rPr>
          <w:rFonts w:hint="eastAsia"/>
          <w:sz w:val="24"/>
          <w:szCs w:val="24"/>
          <w:highlight w:val="none"/>
          <w:lang w:val="en-US" w:eastAsia="zh-CN"/>
        </w:rPr>
        <w:t>校准时，其距离是2m，根据光学导轨性能要求，其距离偏差不超过</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0.2mm，即，其相对距离偏差不大于</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0.01%，按矩形分布估算其标准差，则因距离引入的相对标准不确定度分量为</w:t>
      </w:r>
    </w:p>
    <w:p w14:paraId="43021971">
      <w:pPr>
        <w:ind w:firstLine="420" w:firstLineChars="0"/>
        <w:rPr>
          <w:rFonts w:hint="default" w:eastAsiaTheme="minorEastAsia"/>
          <w:sz w:val="24"/>
          <w:szCs w:val="24"/>
          <w:highlight w:val="none"/>
          <w:lang w:val="en-US" w:eastAsia="zh-CN"/>
        </w:rPr>
      </w:pPr>
      <m:oMathPara>
        <m:oMath>
          <m:sSub>
            <m:sSubPr>
              <m:ctrlPr>
                <w:rPr>
                  <w:rFonts w:ascii="Cambria Math" w:hAnsi="Cambria Math"/>
                  <w:i/>
                  <w:sz w:val="24"/>
                  <w:szCs w:val="24"/>
                  <w:highlight w:val="none"/>
                  <w:lang w:val="en-US"/>
                </w:rPr>
              </m:ctrlPr>
            </m:sSubPr>
            <m:e>
              <m:r>
                <m:rPr/>
                <w:rPr>
                  <w:rFonts w:hint="default" w:ascii="Cambria Math" w:hAnsi="Cambria Math"/>
                  <w:sz w:val="24"/>
                  <w:szCs w:val="24"/>
                  <w:highlight w:val="none"/>
                  <w:lang w:val="en-US" w:eastAsia="zh-CN"/>
                </w:rPr>
                <m:t>u</m:t>
              </m:r>
              <m:ctrlPr>
                <w:rPr>
                  <w:rFonts w:ascii="Cambria Math" w:hAnsi="Cambria Math"/>
                  <w:i/>
                  <w:sz w:val="24"/>
                  <w:szCs w:val="24"/>
                  <w:highlight w:val="none"/>
                  <w:lang w:val="en-US"/>
                </w:rPr>
              </m:ctrlPr>
            </m:e>
            <m:sub>
              <m:r>
                <m:rPr>
                  <m:sty m:val="p"/>
                </m:rPr>
                <w:rPr>
                  <w:rFonts w:hint="default" w:ascii="Cambria Math" w:hAnsi="Cambria Math"/>
                  <w:sz w:val="24"/>
                  <w:szCs w:val="24"/>
                  <w:highlight w:val="none"/>
                  <w:lang w:val="en-US" w:eastAsia="zh-CN"/>
                </w:rPr>
                <m:t>rel, 6</m:t>
              </m:r>
              <m:ctrlPr>
                <w:rPr>
                  <w:rFonts w:ascii="Cambria Math" w:hAnsi="Cambria Math"/>
                  <w:i/>
                  <w:sz w:val="24"/>
                  <w:szCs w:val="24"/>
                  <w:highlight w:val="none"/>
                  <w:lang w:val="en-US"/>
                </w:rPr>
              </m:ctrlPr>
            </m:sub>
          </m:sSub>
          <m:r>
            <m:rPr/>
            <w:rPr>
              <w:rFonts w:hint="default" w:ascii="Cambria Math" w:hAnsi="Cambria Math"/>
              <w:sz w:val="24"/>
              <w:szCs w:val="24"/>
              <w:highlight w:val="none"/>
              <w:lang w:val="en-US" w:eastAsia="zh-CN"/>
            </w:rPr>
            <m:t>=</m:t>
          </m:r>
          <m:f>
            <m:fPr>
              <m:ctrlPr>
                <w:rPr>
                  <w:rFonts w:hint="default" w:ascii="Cambria Math" w:hAnsi="Cambria Math"/>
                  <w:i/>
                  <w:sz w:val="24"/>
                  <w:szCs w:val="24"/>
                  <w:highlight w:val="none"/>
                  <w:lang w:val="en-US" w:eastAsia="zh-CN"/>
                </w:rPr>
              </m:ctrlPr>
            </m:fPr>
            <m:num>
              <m:r>
                <m:rPr/>
                <w:rPr>
                  <w:rFonts w:hint="default" w:ascii="Cambria Math" w:hAnsi="Cambria Math"/>
                  <w:sz w:val="24"/>
                  <w:szCs w:val="24"/>
                  <w:highlight w:val="none"/>
                  <w:lang w:val="en-US" w:eastAsia="zh-CN"/>
                </w:rPr>
                <m:t>0.01%</m:t>
              </m:r>
              <m:ctrlPr>
                <w:rPr>
                  <w:rFonts w:hint="default" w:ascii="Cambria Math" w:hAnsi="Cambria Math"/>
                  <w:i/>
                  <w:sz w:val="24"/>
                  <w:szCs w:val="24"/>
                  <w:highlight w:val="none"/>
                  <w:lang w:val="en-US" w:eastAsia="zh-CN"/>
                </w:rPr>
              </m:ctrlPr>
            </m:num>
            <m:den>
              <m:rad>
                <m:radPr>
                  <m:degHide m:val="1"/>
                  <m:ctrlPr>
                    <w:rPr>
                      <w:rFonts w:hint="default" w:ascii="Cambria Math" w:hAnsi="Cambria Math"/>
                      <w:i/>
                      <w:sz w:val="24"/>
                      <w:szCs w:val="24"/>
                      <w:highlight w:val="none"/>
                      <w:lang w:val="en-US" w:eastAsia="zh-CN"/>
                    </w:rPr>
                  </m:ctrlPr>
                </m:radPr>
                <m:deg>
                  <m:ctrlPr>
                    <w:rPr>
                      <w:rFonts w:hint="default" w:ascii="Cambria Math" w:hAnsi="Cambria Math"/>
                      <w:i/>
                      <w:sz w:val="24"/>
                      <w:szCs w:val="24"/>
                      <w:highlight w:val="none"/>
                      <w:lang w:val="en-US" w:eastAsia="zh-CN"/>
                    </w:rPr>
                  </m:ctrlPr>
                </m:deg>
                <m:e>
                  <m:r>
                    <m:rPr/>
                    <w:rPr>
                      <w:rFonts w:hint="default" w:ascii="Cambria Math" w:hAnsi="Cambria Math"/>
                      <w:sz w:val="24"/>
                      <w:szCs w:val="24"/>
                      <w:highlight w:val="none"/>
                      <w:lang w:val="en-US" w:eastAsia="zh-CN"/>
                    </w:rPr>
                    <m:t>3</m:t>
                  </m:r>
                  <m:ctrlPr>
                    <w:rPr>
                      <w:rFonts w:hint="default" w:ascii="Cambria Math" w:hAnsi="Cambria Math"/>
                      <w:i/>
                      <w:sz w:val="24"/>
                      <w:szCs w:val="24"/>
                      <w:highlight w:val="none"/>
                      <w:lang w:val="en-US" w:eastAsia="zh-CN"/>
                    </w:rPr>
                  </m:ctrlPr>
                </m:e>
              </m:rad>
              <m:ctrlPr>
                <w:rPr>
                  <w:rFonts w:hint="default" w:ascii="Cambria Math" w:hAnsi="Cambria Math"/>
                  <w:i/>
                  <w:sz w:val="24"/>
                  <w:szCs w:val="24"/>
                  <w:highlight w:val="none"/>
                  <w:lang w:val="en-US" w:eastAsia="zh-CN"/>
                </w:rPr>
              </m:ctrlPr>
            </m:den>
          </m:f>
          <m:r>
            <m:rPr/>
            <w:rPr>
              <w:rFonts w:hint="default" w:ascii="Cambria Math" w:hAnsi="Cambria Math"/>
              <w:sz w:val="24"/>
              <w:szCs w:val="24"/>
              <w:highlight w:val="none"/>
              <w:lang w:val="en-US" w:eastAsia="zh-CN"/>
            </w:rPr>
            <m:t>=0.006%</m:t>
          </m:r>
        </m:oMath>
      </m:oMathPara>
    </w:p>
    <w:p w14:paraId="6560BFEC">
      <w:pPr>
        <w:rPr>
          <w:rFonts w:hint="default"/>
          <w:sz w:val="24"/>
          <w:szCs w:val="24"/>
          <w:highlight w:val="none"/>
          <w:lang w:val="en-US" w:eastAsia="zh-CN"/>
        </w:rPr>
      </w:pPr>
    </w:p>
    <w:p w14:paraId="4C05DE69">
      <w:pPr>
        <w:rPr>
          <w:rFonts w:hint="eastAsia"/>
          <w:sz w:val="24"/>
          <w:szCs w:val="24"/>
          <w:lang w:val="en-US" w:eastAsia="zh-CN"/>
        </w:rPr>
      </w:pPr>
      <w:r>
        <w:rPr>
          <w:rFonts w:hint="eastAsia"/>
          <w:sz w:val="24"/>
          <w:szCs w:val="24"/>
          <w:lang w:val="en-US" w:eastAsia="zh-CN"/>
        </w:rPr>
        <w:t>6 开口面积的不确定度分量</w:t>
      </w:r>
      <w:r>
        <w:rPr>
          <w:rFonts w:hint="eastAsia"/>
          <w:sz w:val="24"/>
          <w:szCs w:val="24"/>
          <w:highlight w:val="none"/>
          <w:lang w:val="en-US" w:eastAsia="zh-CN"/>
        </w:rPr>
        <w:t>评定</w:t>
      </w:r>
    </w:p>
    <w:p w14:paraId="1AE16875">
      <w:pPr>
        <w:ind w:firstLine="420" w:firstLineChars="0"/>
        <w:rPr>
          <w:rFonts w:hint="eastAsia"/>
          <w:sz w:val="24"/>
          <w:szCs w:val="24"/>
          <w:highlight w:val="none"/>
          <w:lang w:val="en-US" w:eastAsia="zh-CN"/>
        </w:rPr>
      </w:pPr>
      <w:r>
        <w:rPr>
          <w:rFonts w:hint="eastAsia"/>
          <w:sz w:val="24"/>
          <w:szCs w:val="24"/>
          <w:highlight w:val="none"/>
          <w:lang w:val="en-US" w:eastAsia="zh-CN"/>
        </w:rPr>
        <w:t>开口半径径10.00 mm，使用千分尺测量，其距离偏差不大于</w:t>
      </w:r>
      <w:r>
        <w:rPr>
          <w:rFonts w:hint="eastAsia" w:ascii="宋体" w:hAnsi="宋体" w:eastAsia="宋体" w:cs="宋体"/>
          <w:sz w:val="24"/>
          <w:szCs w:val="24"/>
          <w:highlight w:val="none"/>
          <w:lang w:val="en-US" w:eastAsia="zh-CN"/>
        </w:rPr>
        <w:t>±</w:t>
      </w:r>
      <w:r>
        <w:rPr>
          <w:rFonts w:hint="eastAsia"/>
          <w:sz w:val="24"/>
          <w:szCs w:val="24"/>
          <w:highlight w:val="none"/>
          <w:lang w:val="en-US" w:eastAsia="zh-CN"/>
        </w:rPr>
        <w:t>0.02 mm，忽略圆度的影响。此时，按矩形分布估计距离相对标准不确定度是0.23%，对面积的灵敏系数是2，因此，开口面积引入相对标准不确定度分量为</w:t>
      </w:r>
    </w:p>
    <w:p w14:paraId="3230EC02">
      <w:pPr>
        <w:ind w:firstLine="420" w:firstLineChars="0"/>
        <w:rPr>
          <w:rFonts w:hint="default" w:eastAsiaTheme="minorEastAsia"/>
          <w:sz w:val="24"/>
          <w:szCs w:val="24"/>
          <w:highlight w:val="none"/>
          <w:lang w:val="en-US" w:eastAsia="zh-CN"/>
        </w:rPr>
      </w:pPr>
      <m:oMathPara>
        <m:oMath>
          <m:sSub>
            <m:sSubPr>
              <m:ctrlPr>
                <w:rPr>
                  <w:rFonts w:ascii="Cambria Math" w:hAnsi="Cambria Math"/>
                  <w:i/>
                  <w:sz w:val="24"/>
                  <w:szCs w:val="24"/>
                  <w:highlight w:val="none"/>
                  <w:lang w:val="en-US"/>
                </w:rPr>
              </m:ctrlPr>
            </m:sSubPr>
            <m:e>
              <m:r>
                <m:rPr/>
                <w:rPr>
                  <w:rFonts w:hint="default" w:ascii="Cambria Math" w:hAnsi="Cambria Math"/>
                  <w:sz w:val="24"/>
                  <w:szCs w:val="24"/>
                  <w:highlight w:val="none"/>
                  <w:lang w:val="en-US" w:eastAsia="zh-CN"/>
                </w:rPr>
                <m:t>u</m:t>
              </m:r>
              <m:ctrlPr>
                <w:rPr>
                  <w:rFonts w:ascii="Cambria Math" w:hAnsi="Cambria Math"/>
                  <w:i/>
                  <w:sz w:val="24"/>
                  <w:szCs w:val="24"/>
                  <w:highlight w:val="none"/>
                  <w:lang w:val="en-US"/>
                </w:rPr>
              </m:ctrlPr>
            </m:e>
            <m:sub>
              <m:r>
                <m:rPr>
                  <m:sty m:val="p"/>
                </m:rPr>
                <w:rPr>
                  <w:rFonts w:hint="default" w:ascii="Cambria Math" w:hAnsi="Cambria Math"/>
                  <w:sz w:val="24"/>
                  <w:szCs w:val="24"/>
                  <w:highlight w:val="none"/>
                  <w:lang w:val="en-US" w:eastAsia="zh-CN"/>
                </w:rPr>
                <m:t>rel, 7</m:t>
              </m:r>
              <m:ctrlPr>
                <w:rPr>
                  <w:rFonts w:ascii="Cambria Math" w:hAnsi="Cambria Math"/>
                  <w:i/>
                  <w:sz w:val="24"/>
                  <w:szCs w:val="24"/>
                  <w:highlight w:val="none"/>
                  <w:lang w:val="en-US"/>
                </w:rPr>
              </m:ctrlPr>
            </m:sub>
          </m:sSub>
          <m:r>
            <m:rPr/>
            <w:rPr>
              <w:rFonts w:hint="default" w:ascii="Cambria Math" w:hAnsi="Cambria Math"/>
              <w:sz w:val="24"/>
              <w:szCs w:val="24"/>
              <w:highlight w:val="none"/>
              <w:lang w:val="en-US" w:eastAsia="zh-CN"/>
            </w:rPr>
            <m:t>=</m:t>
          </m:r>
          <m:f>
            <m:fPr>
              <m:ctrlPr>
                <w:rPr>
                  <w:rFonts w:hint="default" w:ascii="Cambria Math" w:hAnsi="Cambria Math"/>
                  <w:i/>
                  <w:sz w:val="24"/>
                  <w:szCs w:val="24"/>
                  <w:highlight w:val="none"/>
                  <w:lang w:val="en-US" w:eastAsia="zh-CN"/>
                </w:rPr>
              </m:ctrlPr>
            </m:fPr>
            <m:num>
              <m:r>
                <m:rPr/>
                <w:rPr>
                  <w:rFonts w:hint="default" w:ascii="Cambria Math" w:hAnsi="Cambria Math"/>
                  <w:sz w:val="24"/>
                  <w:szCs w:val="24"/>
                  <w:highlight w:val="none"/>
                  <w:lang w:val="en-US" w:eastAsia="zh-CN"/>
                </w:rPr>
                <m:t>0</m:t>
              </m:r>
              <m:r>
                <m:rPr/>
                <w:rPr>
                  <w:rFonts w:hint="eastAsia" w:ascii="Cambria Math" w:hAnsi="Cambria Math"/>
                  <w:sz w:val="24"/>
                  <w:szCs w:val="24"/>
                  <w:highlight w:val="none"/>
                  <w:lang w:val="en-US" w:eastAsia="zh-CN"/>
                </w:rPr>
                <m:t>.</m:t>
              </m:r>
              <m:r>
                <m:rPr/>
                <w:rPr>
                  <w:rFonts w:hint="default" w:ascii="Cambria Math" w:hAnsi="Cambria Math"/>
                  <w:sz w:val="24"/>
                  <w:szCs w:val="24"/>
                  <w:highlight w:val="none"/>
                  <w:lang w:val="en-US" w:eastAsia="zh-CN"/>
                </w:rPr>
                <m:t>02</m:t>
              </m:r>
              <m:ctrlPr>
                <w:rPr>
                  <w:rFonts w:hint="default" w:ascii="Cambria Math" w:hAnsi="Cambria Math"/>
                  <w:i/>
                  <w:sz w:val="24"/>
                  <w:szCs w:val="24"/>
                  <w:highlight w:val="none"/>
                  <w:lang w:val="en-US" w:eastAsia="zh-CN"/>
                </w:rPr>
              </m:ctrlPr>
            </m:num>
            <m:den>
              <m:r>
                <m:rPr/>
                <w:rPr>
                  <w:rFonts w:hint="default" w:ascii="Cambria Math" w:hAnsi="Cambria Math"/>
                  <w:sz w:val="24"/>
                  <w:szCs w:val="24"/>
                  <w:highlight w:val="none"/>
                  <w:lang w:val="en-US" w:eastAsia="zh-CN"/>
                </w:rPr>
                <m:t>10</m:t>
              </m:r>
              <m:ctrlPr>
                <w:rPr>
                  <w:rFonts w:hint="default" w:ascii="Cambria Math" w:hAnsi="Cambria Math"/>
                  <w:i/>
                  <w:sz w:val="24"/>
                  <w:szCs w:val="24"/>
                  <w:highlight w:val="none"/>
                  <w:lang w:val="en-US" w:eastAsia="zh-CN"/>
                </w:rPr>
              </m:ctrlPr>
            </m:den>
          </m:f>
          <m:r>
            <m:rPr/>
            <w:rPr>
              <w:rFonts w:ascii="Cambria Math" w:hAnsi="Cambria Math"/>
              <w:sz w:val="24"/>
              <w:szCs w:val="24"/>
              <w:highlight w:val="none"/>
              <w:lang w:val="en-US"/>
            </w:rPr>
            <m:t>×</m:t>
          </m:r>
          <m:f>
            <m:fPr>
              <m:ctrlPr>
                <w:rPr>
                  <w:rFonts w:ascii="Cambria Math" w:hAnsi="Cambria Math"/>
                  <w:i/>
                  <w:sz w:val="24"/>
                  <w:szCs w:val="24"/>
                  <w:highlight w:val="none"/>
                  <w:lang w:val="en-US"/>
                </w:rPr>
              </m:ctrlPr>
            </m:fPr>
            <m:num>
              <m:r>
                <m:rPr/>
                <w:rPr>
                  <w:rFonts w:hint="default" w:ascii="Cambria Math" w:hAnsi="Cambria Math"/>
                  <w:sz w:val="24"/>
                  <w:szCs w:val="24"/>
                  <w:highlight w:val="none"/>
                  <w:lang w:val="en-US" w:eastAsia="zh-CN"/>
                </w:rPr>
                <m:t>1</m:t>
              </m:r>
              <m:ctrlPr>
                <w:rPr>
                  <w:rFonts w:ascii="Cambria Math" w:hAnsi="Cambria Math"/>
                  <w:i/>
                  <w:sz w:val="24"/>
                  <w:szCs w:val="24"/>
                  <w:highlight w:val="none"/>
                  <w:lang w:val="en-US"/>
                </w:rPr>
              </m:ctrlPr>
            </m:num>
            <m:den>
              <m:rad>
                <m:radPr>
                  <m:degHide m:val="1"/>
                  <m:ctrlPr>
                    <w:rPr>
                      <w:rFonts w:hint="default" w:ascii="Cambria Math" w:hAnsi="Cambria Math"/>
                      <w:i/>
                      <w:sz w:val="24"/>
                      <w:szCs w:val="24"/>
                      <w:highlight w:val="none"/>
                      <w:lang w:val="en-US" w:eastAsia="zh-CN"/>
                    </w:rPr>
                  </m:ctrlPr>
                </m:radPr>
                <m:deg>
                  <m:ctrlPr>
                    <w:rPr>
                      <w:rFonts w:hint="default" w:ascii="Cambria Math" w:hAnsi="Cambria Math"/>
                      <w:i/>
                      <w:sz w:val="24"/>
                      <w:szCs w:val="24"/>
                      <w:highlight w:val="none"/>
                      <w:lang w:val="en-US" w:eastAsia="zh-CN"/>
                    </w:rPr>
                  </m:ctrlPr>
                </m:deg>
                <m:e>
                  <m:r>
                    <m:rPr/>
                    <w:rPr>
                      <w:rFonts w:hint="default" w:ascii="Cambria Math" w:hAnsi="Cambria Math"/>
                      <w:sz w:val="24"/>
                      <w:szCs w:val="24"/>
                      <w:highlight w:val="none"/>
                      <w:lang w:val="en-US" w:eastAsia="zh-CN"/>
                    </w:rPr>
                    <m:t>3</m:t>
                  </m:r>
                  <m:ctrlPr>
                    <w:rPr>
                      <w:rFonts w:hint="default" w:ascii="Cambria Math" w:hAnsi="Cambria Math"/>
                      <w:i/>
                      <w:sz w:val="24"/>
                      <w:szCs w:val="24"/>
                      <w:highlight w:val="none"/>
                      <w:lang w:val="en-US" w:eastAsia="zh-CN"/>
                    </w:rPr>
                  </m:ctrlPr>
                </m:e>
              </m:rad>
              <m:ctrlPr>
                <w:rPr>
                  <w:rFonts w:ascii="Cambria Math" w:hAnsi="Cambria Math"/>
                  <w:i/>
                  <w:sz w:val="24"/>
                  <w:szCs w:val="24"/>
                  <w:highlight w:val="none"/>
                  <w:lang w:val="en-US"/>
                </w:rPr>
              </m:ctrlPr>
            </m:den>
          </m:f>
          <m:r>
            <m:rPr/>
            <w:rPr>
              <w:rFonts w:ascii="Cambria Math" w:hAnsi="Cambria Math"/>
              <w:sz w:val="24"/>
              <w:szCs w:val="24"/>
              <w:highlight w:val="none"/>
              <w:lang w:val="en-US"/>
            </w:rPr>
            <m:t>×</m:t>
          </m:r>
          <m:r>
            <m:rPr/>
            <w:rPr>
              <w:rFonts w:hint="default" w:ascii="Cambria Math" w:hAnsi="Cambria Math"/>
              <w:sz w:val="24"/>
              <w:szCs w:val="24"/>
              <w:highlight w:val="none"/>
              <w:lang w:val="en-US" w:eastAsia="zh-CN"/>
            </w:rPr>
            <m:t>2=0.3%</m:t>
          </m:r>
        </m:oMath>
      </m:oMathPara>
    </w:p>
    <w:p w14:paraId="7C64EC54">
      <w:pPr>
        <w:rPr>
          <w:rFonts w:hint="default"/>
          <w:sz w:val="24"/>
          <w:szCs w:val="24"/>
          <w:highlight w:val="none"/>
          <w:lang w:val="en-US" w:eastAsia="zh-CN"/>
        </w:rPr>
      </w:pPr>
    </w:p>
    <w:p w14:paraId="3670A9C5">
      <w:pPr>
        <w:spacing w:line="240" w:lineRule="auto"/>
        <w:jc w:val="both"/>
        <w:rPr>
          <w:rFonts w:hint="eastAsia"/>
          <w:sz w:val="24"/>
          <w:szCs w:val="24"/>
          <w:highlight w:val="none"/>
          <w:lang w:val="en-US" w:eastAsia="zh-CN"/>
        </w:rPr>
      </w:pPr>
      <w:r>
        <w:rPr>
          <w:rFonts w:hint="eastAsia"/>
          <w:sz w:val="24"/>
          <w:szCs w:val="24"/>
          <w:highlight w:val="none"/>
          <w:lang w:val="en-US" w:eastAsia="zh-CN"/>
        </w:rPr>
        <w:t>7 标准不确定度分量评定结果</w:t>
      </w:r>
    </w:p>
    <w:tbl>
      <w:tblPr>
        <w:tblStyle w:val="3"/>
        <w:tblW w:w="7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2432"/>
        <w:gridCol w:w="1875"/>
      </w:tblGrid>
      <w:tr w14:paraId="2A63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7B81ADCD">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影响因素</w:t>
            </w:r>
          </w:p>
        </w:tc>
        <w:tc>
          <w:tcPr>
            <w:tcW w:w="2432" w:type="dxa"/>
          </w:tcPr>
          <w:p w14:paraId="02B1BE10">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相对不确定度分量</w:t>
            </w:r>
          </w:p>
        </w:tc>
        <w:tc>
          <w:tcPr>
            <w:tcW w:w="1875" w:type="dxa"/>
          </w:tcPr>
          <w:p w14:paraId="003387C0">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类型</w:t>
            </w:r>
          </w:p>
        </w:tc>
      </w:tr>
      <w:tr w14:paraId="7ED1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1A617EB1">
            <w:pPr>
              <w:spacing w:line="360" w:lineRule="auto"/>
              <w:jc w:val="center"/>
              <w:rPr>
                <w:rFonts w:hint="default"/>
                <w:sz w:val="24"/>
                <w:szCs w:val="24"/>
                <w:highlight w:val="none"/>
                <w:vertAlign w:val="baseline"/>
                <w:lang w:val="en-US" w:eastAsia="zh-CN"/>
              </w:rPr>
            </w:pPr>
            <w:r>
              <w:rPr>
                <w:rFonts w:hint="eastAsia" w:hAnsi="Cambria Math" w:cs="宋体"/>
                <w:i w:val="0"/>
                <w:sz w:val="24"/>
                <w:szCs w:val="24"/>
                <w:lang w:val="en-US" w:eastAsia="zh-CN"/>
              </w:rPr>
              <w:t>读数</w:t>
            </w:r>
            <w:r>
              <w:rPr>
                <w:rFonts w:hint="eastAsia"/>
                <w:sz w:val="24"/>
                <w:szCs w:val="24"/>
                <w:lang w:val="en-US" w:eastAsia="zh-CN"/>
              </w:rPr>
              <w:t>重复性</w:t>
            </w:r>
          </w:p>
        </w:tc>
        <w:tc>
          <w:tcPr>
            <w:tcW w:w="2432" w:type="dxa"/>
          </w:tcPr>
          <w:p w14:paraId="5180C618">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0.15%</w:t>
            </w:r>
          </w:p>
        </w:tc>
        <w:tc>
          <w:tcPr>
            <w:tcW w:w="1875" w:type="dxa"/>
          </w:tcPr>
          <w:p w14:paraId="6DED2244">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A</w:t>
            </w:r>
          </w:p>
        </w:tc>
      </w:tr>
      <w:tr w14:paraId="31CD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5D3B6020">
            <w:pPr>
              <w:spacing w:line="360" w:lineRule="auto"/>
              <w:jc w:val="center"/>
              <w:rPr>
                <w:rFonts w:hint="default"/>
                <w:sz w:val="24"/>
                <w:szCs w:val="24"/>
                <w:highlight w:val="none"/>
                <w:vertAlign w:val="baseline"/>
                <w:lang w:val="en-US" w:eastAsia="zh-CN"/>
              </w:rPr>
            </w:pPr>
            <w:r>
              <w:rPr>
                <w:rFonts w:hint="eastAsia"/>
                <w:sz w:val="24"/>
                <w:szCs w:val="24"/>
                <w:lang w:val="en-US" w:eastAsia="zh-CN"/>
              </w:rPr>
              <w:t>光谱失配误差</w:t>
            </w:r>
          </w:p>
        </w:tc>
        <w:tc>
          <w:tcPr>
            <w:tcW w:w="2432" w:type="dxa"/>
          </w:tcPr>
          <w:p w14:paraId="1D84DD5C">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0.58%</w:t>
            </w:r>
          </w:p>
        </w:tc>
        <w:tc>
          <w:tcPr>
            <w:tcW w:w="1875" w:type="dxa"/>
          </w:tcPr>
          <w:p w14:paraId="3F9BA996">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B</w:t>
            </w:r>
          </w:p>
        </w:tc>
      </w:tr>
      <w:tr w14:paraId="2D40C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17521C23">
            <w:pPr>
              <w:spacing w:line="360" w:lineRule="auto"/>
              <w:jc w:val="center"/>
              <w:rPr>
                <w:rFonts w:hint="default"/>
                <w:sz w:val="24"/>
                <w:szCs w:val="24"/>
                <w:highlight w:val="none"/>
                <w:vertAlign w:val="baseline"/>
                <w:lang w:val="en-US" w:eastAsia="zh-CN"/>
              </w:rPr>
            </w:pPr>
            <w:r>
              <w:rPr>
                <w:rFonts w:hint="eastAsia"/>
                <w:sz w:val="24"/>
                <w:szCs w:val="24"/>
                <w:lang w:val="en-US" w:eastAsia="zh-CN"/>
              </w:rPr>
              <w:t>非线性</w:t>
            </w:r>
          </w:p>
        </w:tc>
        <w:tc>
          <w:tcPr>
            <w:tcW w:w="2432" w:type="dxa"/>
          </w:tcPr>
          <w:p w14:paraId="5270323E">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0.05%</w:t>
            </w:r>
          </w:p>
        </w:tc>
        <w:tc>
          <w:tcPr>
            <w:tcW w:w="1875" w:type="dxa"/>
          </w:tcPr>
          <w:p w14:paraId="47D0450D">
            <w:pPr>
              <w:spacing w:line="360" w:lineRule="auto"/>
              <w:jc w:val="center"/>
              <w:rPr>
                <w:rFonts w:hint="eastAsia"/>
                <w:sz w:val="24"/>
                <w:szCs w:val="24"/>
                <w:highlight w:val="none"/>
                <w:vertAlign w:val="baseline"/>
                <w:lang w:val="en-US" w:eastAsia="zh-CN"/>
              </w:rPr>
            </w:pPr>
            <w:r>
              <w:rPr>
                <w:rFonts w:hint="eastAsia"/>
                <w:sz w:val="24"/>
                <w:szCs w:val="24"/>
                <w:highlight w:val="none"/>
                <w:vertAlign w:val="baseline"/>
                <w:lang w:val="en-US" w:eastAsia="zh-CN"/>
              </w:rPr>
              <w:t>B</w:t>
            </w:r>
          </w:p>
        </w:tc>
      </w:tr>
      <w:tr w14:paraId="5655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5178228B">
            <w:pPr>
              <w:spacing w:line="360" w:lineRule="auto"/>
              <w:jc w:val="center"/>
              <w:rPr>
                <w:rFonts w:hint="default"/>
                <w:sz w:val="24"/>
                <w:szCs w:val="24"/>
                <w:highlight w:val="none"/>
                <w:vertAlign w:val="baseline"/>
                <w:lang w:val="en-US" w:eastAsia="zh-CN"/>
              </w:rPr>
            </w:pPr>
            <w:r>
              <w:rPr>
                <w:rFonts w:hint="eastAsia"/>
                <w:sz w:val="24"/>
                <w:szCs w:val="24"/>
                <w:lang w:val="en-US" w:eastAsia="zh-CN"/>
              </w:rPr>
              <w:t>空间响应不均匀性</w:t>
            </w:r>
          </w:p>
        </w:tc>
        <w:tc>
          <w:tcPr>
            <w:tcW w:w="2432" w:type="dxa"/>
          </w:tcPr>
          <w:p w14:paraId="7EEBE179">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1.0%</w:t>
            </w:r>
          </w:p>
        </w:tc>
        <w:tc>
          <w:tcPr>
            <w:tcW w:w="1875" w:type="dxa"/>
          </w:tcPr>
          <w:p w14:paraId="7C756C98">
            <w:pPr>
              <w:spacing w:line="360" w:lineRule="auto"/>
              <w:jc w:val="center"/>
              <w:rPr>
                <w:rFonts w:hint="eastAsia"/>
                <w:sz w:val="24"/>
                <w:szCs w:val="24"/>
                <w:highlight w:val="none"/>
                <w:vertAlign w:val="baseline"/>
                <w:lang w:val="en-US" w:eastAsia="zh-CN"/>
              </w:rPr>
            </w:pPr>
            <w:r>
              <w:rPr>
                <w:rFonts w:hint="eastAsia"/>
                <w:sz w:val="24"/>
                <w:szCs w:val="24"/>
                <w:highlight w:val="none"/>
                <w:vertAlign w:val="baseline"/>
                <w:lang w:val="en-US" w:eastAsia="zh-CN"/>
              </w:rPr>
              <w:t>B</w:t>
            </w:r>
          </w:p>
        </w:tc>
      </w:tr>
      <w:tr w14:paraId="3E27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25BB3BA9">
            <w:pPr>
              <w:spacing w:line="360" w:lineRule="auto"/>
              <w:jc w:val="center"/>
              <w:rPr>
                <w:rFonts w:hint="default"/>
                <w:sz w:val="24"/>
                <w:szCs w:val="24"/>
                <w:highlight w:val="none"/>
                <w:vertAlign w:val="baseline"/>
                <w:lang w:val="en-US" w:eastAsia="zh-CN"/>
              </w:rPr>
            </w:pPr>
            <w:r>
              <w:rPr>
                <w:rFonts w:hint="eastAsia"/>
                <w:sz w:val="24"/>
                <w:szCs w:val="24"/>
                <w:lang w:val="en-US" w:eastAsia="zh-CN"/>
              </w:rPr>
              <w:t>标准灯</w:t>
            </w:r>
          </w:p>
        </w:tc>
        <w:tc>
          <w:tcPr>
            <w:tcW w:w="2432" w:type="dxa"/>
          </w:tcPr>
          <w:p w14:paraId="5CC197C9">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0.4%</w:t>
            </w:r>
          </w:p>
        </w:tc>
        <w:tc>
          <w:tcPr>
            <w:tcW w:w="1875" w:type="dxa"/>
          </w:tcPr>
          <w:p w14:paraId="144345D6">
            <w:pPr>
              <w:spacing w:line="360" w:lineRule="auto"/>
              <w:jc w:val="center"/>
              <w:rPr>
                <w:rFonts w:hint="eastAsia"/>
                <w:sz w:val="24"/>
                <w:szCs w:val="24"/>
                <w:highlight w:val="none"/>
                <w:vertAlign w:val="baseline"/>
                <w:lang w:val="en-US" w:eastAsia="zh-CN"/>
              </w:rPr>
            </w:pPr>
            <w:r>
              <w:rPr>
                <w:rFonts w:hint="eastAsia"/>
                <w:sz w:val="24"/>
                <w:szCs w:val="24"/>
                <w:highlight w:val="none"/>
                <w:vertAlign w:val="baseline"/>
                <w:lang w:val="en-US" w:eastAsia="zh-CN"/>
              </w:rPr>
              <w:t>B</w:t>
            </w:r>
          </w:p>
        </w:tc>
      </w:tr>
      <w:tr w14:paraId="0977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1C78F200">
            <w:pPr>
              <w:spacing w:line="360" w:lineRule="auto"/>
              <w:jc w:val="center"/>
              <w:rPr>
                <w:rFonts w:hint="default"/>
                <w:sz w:val="24"/>
                <w:szCs w:val="24"/>
                <w:highlight w:val="none"/>
                <w:vertAlign w:val="baseline"/>
                <w:lang w:val="en-US" w:eastAsia="zh-CN"/>
              </w:rPr>
            </w:pPr>
            <w:r>
              <w:rPr>
                <w:rFonts w:hint="eastAsia"/>
                <w:sz w:val="24"/>
                <w:szCs w:val="24"/>
                <w:lang w:val="en-US" w:eastAsia="zh-CN"/>
              </w:rPr>
              <w:t>距离</w:t>
            </w:r>
          </w:p>
        </w:tc>
        <w:tc>
          <w:tcPr>
            <w:tcW w:w="2432" w:type="dxa"/>
          </w:tcPr>
          <w:p w14:paraId="3661B96C">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0.006%</w:t>
            </w:r>
          </w:p>
        </w:tc>
        <w:tc>
          <w:tcPr>
            <w:tcW w:w="1875" w:type="dxa"/>
          </w:tcPr>
          <w:p w14:paraId="736B94CC">
            <w:pPr>
              <w:spacing w:line="360" w:lineRule="auto"/>
              <w:jc w:val="center"/>
              <w:rPr>
                <w:rFonts w:hint="eastAsia"/>
                <w:sz w:val="24"/>
                <w:szCs w:val="24"/>
                <w:highlight w:val="none"/>
                <w:vertAlign w:val="baseline"/>
                <w:lang w:val="en-US" w:eastAsia="zh-CN"/>
              </w:rPr>
            </w:pPr>
            <w:r>
              <w:rPr>
                <w:rFonts w:hint="eastAsia"/>
                <w:sz w:val="24"/>
                <w:szCs w:val="24"/>
                <w:highlight w:val="none"/>
                <w:vertAlign w:val="baseline"/>
                <w:lang w:val="en-US" w:eastAsia="zh-CN"/>
              </w:rPr>
              <w:t>B</w:t>
            </w:r>
          </w:p>
        </w:tc>
      </w:tr>
      <w:tr w14:paraId="370A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458AE6C2">
            <w:pPr>
              <w:spacing w:line="360" w:lineRule="auto"/>
              <w:jc w:val="center"/>
              <w:rPr>
                <w:rFonts w:hint="eastAsia"/>
                <w:sz w:val="24"/>
                <w:szCs w:val="24"/>
                <w:lang w:val="en-US" w:eastAsia="zh-CN"/>
              </w:rPr>
            </w:pPr>
            <w:r>
              <w:rPr>
                <w:rFonts w:hint="eastAsia"/>
                <w:sz w:val="24"/>
                <w:szCs w:val="24"/>
                <w:lang w:val="en-US" w:eastAsia="zh-CN"/>
              </w:rPr>
              <w:t>开口面积</w:t>
            </w:r>
          </w:p>
        </w:tc>
        <w:tc>
          <w:tcPr>
            <w:tcW w:w="2432" w:type="dxa"/>
          </w:tcPr>
          <w:p w14:paraId="5CDFF03F">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0.3%</w:t>
            </w:r>
          </w:p>
        </w:tc>
        <w:tc>
          <w:tcPr>
            <w:tcW w:w="1875" w:type="dxa"/>
          </w:tcPr>
          <w:p w14:paraId="71DAA89C">
            <w:pPr>
              <w:spacing w:line="360" w:lineRule="auto"/>
              <w:jc w:val="center"/>
              <w:rPr>
                <w:rFonts w:hint="eastAsia"/>
                <w:sz w:val="24"/>
                <w:szCs w:val="24"/>
                <w:highlight w:val="none"/>
                <w:vertAlign w:val="baseline"/>
                <w:lang w:val="en-US" w:eastAsia="zh-CN"/>
              </w:rPr>
            </w:pPr>
            <w:r>
              <w:rPr>
                <w:rFonts w:hint="eastAsia"/>
                <w:sz w:val="24"/>
                <w:szCs w:val="24"/>
                <w:highlight w:val="none"/>
                <w:vertAlign w:val="baseline"/>
                <w:lang w:val="en-US" w:eastAsia="zh-CN"/>
              </w:rPr>
              <w:t>B</w:t>
            </w:r>
          </w:p>
        </w:tc>
      </w:tr>
      <w:tr w14:paraId="28C8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7" w:type="dxa"/>
          </w:tcPr>
          <w:p w14:paraId="49C8263B">
            <w:pPr>
              <w:spacing w:line="360" w:lineRule="auto"/>
              <w:jc w:val="center"/>
              <w:rPr>
                <w:rFonts w:hint="default"/>
                <w:sz w:val="24"/>
                <w:szCs w:val="24"/>
                <w:lang w:val="en-US" w:eastAsia="zh-CN"/>
              </w:rPr>
            </w:pPr>
            <w:r>
              <w:rPr>
                <w:rFonts w:hint="eastAsia"/>
                <w:sz w:val="24"/>
                <w:szCs w:val="24"/>
                <w:lang w:val="en-US" w:eastAsia="zh-CN"/>
              </w:rPr>
              <w:t>合成标准不确定度</w:t>
            </w:r>
          </w:p>
        </w:tc>
        <w:tc>
          <w:tcPr>
            <w:tcW w:w="2432" w:type="dxa"/>
          </w:tcPr>
          <w:p w14:paraId="7427CFE7">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1.27%</w:t>
            </w:r>
          </w:p>
        </w:tc>
        <w:tc>
          <w:tcPr>
            <w:tcW w:w="1875" w:type="dxa"/>
          </w:tcPr>
          <w:p w14:paraId="2D070911">
            <w:pPr>
              <w:spacing w:line="360" w:lineRule="auto"/>
              <w:jc w:val="center"/>
              <w:rPr>
                <w:rFonts w:hint="default"/>
                <w:sz w:val="24"/>
                <w:szCs w:val="24"/>
                <w:highlight w:val="none"/>
                <w:vertAlign w:val="baseline"/>
                <w:lang w:val="en-US" w:eastAsia="zh-CN"/>
              </w:rPr>
            </w:pPr>
            <w:r>
              <w:rPr>
                <w:rFonts w:hint="eastAsia"/>
                <w:sz w:val="24"/>
                <w:szCs w:val="24"/>
                <w:highlight w:val="none"/>
                <w:vertAlign w:val="baseline"/>
                <w:lang w:val="en-US" w:eastAsia="zh-CN"/>
              </w:rPr>
              <w:t>-</w:t>
            </w:r>
          </w:p>
        </w:tc>
      </w:tr>
    </w:tbl>
    <w:p w14:paraId="48CC1102">
      <w:pPr>
        <w:rPr>
          <w:rFonts w:hint="default"/>
          <w:sz w:val="24"/>
          <w:szCs w:val="24"/>
          <w:highlight w:val="none"/>
          <w:lang w:val="en-US" w:eastAsia="zh-CN"/>
        </w:rPr>
      </w:pPr>
    </w:p>
    <w:p w14:paraId="42B99829">
      <w:pPr>
        <w:rPr>
          <w:rFonts w:hint="default"/>
          <w:sz w:val="24"/>
          <w:szCs w:val="24"/>
          <w:highlight w:val="none"/>
          <w:lang w:val="en-US" w:eastAsia="zh-CN"/>
        </w:rPr>
      </w:pPr>
      <w:r>
        <w:rPr>
          <w:rFonts w:hint="eastAsia"/>
          <w:sz w:val="24"/>
          <w:szCs w:val="24"/>
          <w:highlight w:val="none"/>
          <w:lang w:val="en-US" w:eastAsia="zh-CN"/>
        </w:rPr>
        <w:t>8 校准不确定度表达</w:t>
      </w:r>
    </w:p>
    <w:p w14:paraId="3991761C">
      <w:pPr>
        <w:spacing w:line="240" w:lineRule="auto"/>
        <w:ind w:firstLine="420"/>
        <w:rPr>
          <w:sz w:val="24"/>
          <w:szCs w:val="24"/>
        </w:rPr>
      </w:pPr>
      <w:r>
        <w:rPr>
          <w:rFonts w:hint="eastAsia"/>
          <w:sz w:val="24"/>
          <w:szCs w:val="24"/>
        </w:rPr>
        <w:t>取包含因子</w:t>
      </w:r>
      <w:r>
        <w:rPr>
          <w:rFonts w:hint="eastAsia"/>
          <w:i/>
          <w:iCs/>
          <w:sz w:val="24"/>
          <w:szCs w:val="24"/>
        </w:rPr>
        <w:t>k</w:t>
      </w:r>
      <w:r>
        <w:rPr>
          <w:rFonts w:hint="eastAsia"/>
          <w:sz w:val="24"/>
          <w:szCs w:val="24"/>
        </w:rPr>
        <w:t>=2，则扩展不确定度为</w:t>
      </w:r>
    </w:p>
    <w:p w14:paraId="0FEE362E">
      <w:pPr>
        <w:spacing w:line="240" w:lineRule="auto"/>
        <w:ind w:firstLine="420"/>
        <w:jc w:val="center"/>
        <w:rPr>
          <w:sz w:val="24"/>
          <w:szCs w:val="24"/>
        </w:rPr>
      </w:pPr>
      <m:oMathPara>
        <m:oMath>
          <m:sSub>
            <m:sSubPr>
              <m:ctrlPr>
                <w:rPr>
                  <w:rFonts w:ascii="Cambria Math"/>
                  <w:i/>
                  <w:sz w:val="24"/>
                  <w:szCs w:val="24"/>
                </w:rPr>
              </m:ctrlPr>
            </m:sSubPr>
            <m:e>
              <m:r>
                <m:rPr/>
                <w:rPr>
                  <w:rFonts w:ascii="Cambria Math"/>
                  <w:sz w:val="24"/>
                  <w:szCs w:val="24"/>
                </w:rPr>
                <m:t>U</m:t>
              </m:r>
              <m:ctrlPr>
                <w:rPr>
                  <w:rFonts w:ascii="Cambria Math"/>
                  <w:i/>
                  <w:sz w:val="24"/>
                  <w:szCs w:val="24"/>
                </w:rPr>
              </m:ctrlPr>
            </m:e>
            <m:sub>
              <m:r>
                <m:rPr>
                  <m:nor/>
                  <m:sty m:val="p"/>
                </m:rPr>
                <w:rPr>
                  <w:rFonts w:ascii="Cambria Math"/>
                  <w:b w:val="0"/>
                  <w:i w:val="0"/>
                  <w:sz w:val="24"/>
                  <w:szCs w:val="24"/>
                </w:rPr>
                <m:t>rel</m:t>
              </m:r>
              <m:ctrlPr>
                <w:rPr>
                  <w:rFonts w:ascii="Cambria Math"/>
                  <w:sz w:val="24"/>
                  <w:szCs w:val="24"/>
                </w:rPr>
              </m:ctrlPr>
            </m:sub>
          </m:sSub>
          <m:r>
            <m:rPr/>
            <w:rPr>
              <w:rFonts w:ascii="Cambria Math"/>
              <w:sz w:val="24"/>
              <w:szCs w:val="24"/>
            </w:rPr>
            <m:t>=</m:t>
          </m:r>
          <m:r>
            <m:rPr/>
            <w:rPr>
              <w:rFonts w:hint="default" w:ascii="Cambria Math"/>
              <w:sz w:val="24"/>
              <w:szCs w:val="24"/>
              <w:lang w:val="en-US" w:eastAsia="zh-CN"/>
            </w:rPr>
            <m:t>1.27</m:t>
          </m:r>
          <m:r>
            <m:rPr/>
            <w:rPr>
              <w:rFonts w:ascii="Cambria Math"/>
              <w:sz w:val="24"/>
              <w:szCs w:val="24"/>
            </w:rPr>
            <m:t>%×2=</m:t>
          </m:r>
          <m:r>
            <m:rPr/>
            <w:rPr>
              <w:rFonts w:hint="default" w:ascii="Cambria Math"/>
              <w:sz w:val="24"/>
              <w:szCs w:val="24"/>
              <w:lang w:val="en-US" w:eastAsia="zh-CN"/>
            </w:rPr>
            <m:t>2.6</m:t>
          </m:r>
          <m:r>
            <m:rPr/>
            <w:rPr>
              <w:rFonts w:ascii="Cambria Math"/>
              <w:sz w:val="24"/>
              <w:szCs w:val="24"/>
            </w:rPr>
            <m:t>%</m:t>
          </m:r>
        </m:oMath>
      </m:oMathPara>
    </w:p>
    <w:p w14:paraId="579124E8">
      <w:pPr>
        <w:spacing w:line="240" w:lineRule="auto"/>
        <w:ind w:firstLine="420"/>
        <w:rPr>
          <w:sz w:val="24"/>
          <w:szCs w:val="24"/>
        </w:rPr>
      </w:pPr>
      <w:r>
        <w:rPr>
          <w:rFonts w:hint="eastAsia"/>
          <w:sz w:val="24"/>
          <w:szCs w:val="24"/>
        </w:rPr>
        <w:t>本次</w:t>
      </w:r>
      <w:r>
        <w:rPr>
          <w:rFonts w:hint="eastAsia"/>
          <w:sz w:val="24"/>
          <w:szCs w:val="24"/>
          <w:lang w:val="en-US" w:eastAsia="zh-CN"/>
        </w:rPr>
        <w:t>光通量示值相对偏差校准</w:t>
      </w:r>
      <w:r>
        <w:rPr>
          <w:rFonts w:hint="eastAsia"/>
          <w:sz w:val="24"/>
          <w:szCs w:val="24"/>
        </w:rPr>
        <w:t>结果的相对扩展不确定度评定值是</w:t>
      </w:r>
    </w:p>
    <w:p w14:paraId="58466261">
      <w:pPr>
        <w:spacing w:line="240" w:lineRule="auto"/>
        <w:ind w:firstLine="420"/>
        <w:jc w:val="center"/>
        <w:rPr>
          <w:sz w:val="24"/>
          <w:szCs w:val="24"/>
        </w:rPr>
      </w:pPr>
      <m:oMathPara>
        <m:oMath>
          <m:sSub>
            <m:sSubPr>
              <m:ctrlPr>
                <w:rPr>
                  <w:rFonts w:ascii="Cambria Math"/>
                  <w:i/>
                  <w:sz w:val="24"/>
                  <w:szCs w:val="24"/>
                </w:rPr>
              </m:ctrlPr>
            </m:sSubPr>
            <m:e>
              <m:r>
                <m:rPr/>
                <w:rPr>
                  <w:rFonts w:ascii="Cambria Math"/>
                  <w:sz w:val="24"/>
                  <w:szCs w:val="24"/>
                </w:rPr>
                <m:t>U</m:t>
              </m:r>
              <m:ctrlPr>
                <w:rPr>
                  <w:rFonts w:ascii="Cambria Math"/>
                  <w:i/>
                  <w:sz w:val="24"/>
                  <w:szCs w:val="24"/>
                </w:rPr>
              </m:ctrlPr>
            </m:e>
            <m:sub>
              <m:r>
                <m:rPr>
                  <m:nor/>
                  <m:sty m:val="p"/>
                </m:rPr>
                <w:rPr>
                  <w:rFonts w:ascii="Cambria Math"/>
                  <w:b w:val="0"/>
                  <w:i w:val="0"/>
                  <w:sz w:val="24"/>
                  <w:szCs w:val="24"/>
                </w:rPr>
                <m:t>rel</m:t>
              </m:r>
              <m:ctrlPr>
                <w:rPr>
                  <w:rFonts w:ascii="Cambria Math"/>
                  <w:sz w:val="24"/>
                  <w:szCs w:val="24"/>
                </w:rPr>
              </m:ctrlPr>
            </m:sub>
          </m:sSub>
          <m:r>
            <m:rPr/>
            <w:rPr>
              <w:rFonts w:ascii="Cambria Math"/>
              <w:sz w:val="24"/>
              <w:szCs w:val="24"/>
            </w:rPr>
            <m:t>=</m:t>
          </m:r>
          <m:r>
            <m:rPr/>
            <w:rPr>
              <w:rFonts w:hint="default" w:ascii="Cambria Math"/>
              <w:sz w:val="24"/>
              <w:szCs w:val="24"/>
              <w:lang w:val="en-US" w:eastAsia="zh-CN"/>
            </w:rPr>
            <m:t>2</m:t>
          </m:r>
          <m:r>
            <m:rPr/>
            <w:rPr>
              <w:rFonts w:hint="eastAsia" w:ascii="Cambria Math"/>
              <w:sz w:val="24"/>
              <w:szCs w:val="24"/>
              <w:lang w:val="en-US" w:eastAsia="zh-CN"/>
            </w:rPr>
            <m:t>.</m:t>
          </m:r>
          <m:r>
            <m:rPr/>
            <w:rPr>
              <w:rFonts w:hint="default" w:ascii="Cambria Math"/>
              <w:sz w:val="24"/>
              <w:szCs w:val="24"/>
              <w:lang w:val="en-US" w:eastAsia="zh-CN"/>
            </w:rPr>
            <m:t>6</m:t>
          </m:r>
          <m:r>
            <m:rPr/>
            <w:rPr>
              <w:rFonts w:ascii="Cambria Math"/>
              <w:sz w:val="24"/>
              <w:szCs w:val="24"/>
            </w:rPr>
            <m:t>%</m:t>
          </m:r>
          <m:r>
            <m:rPr>
              <m:nor/>
              <m:sty m:val="p"/>
            </m:rPr>
            <w:rPr>
              <w:rFonts w:ascii="Cambria Math"/>
              <w:b w:val="0"/>
              <w:i w:val="0"/>
              <w:sz w:val="24"/>
              <w:szCs w:val="24"/>
            </w:rPr>
            <m:t xml:space="preserve">   (</m:t>
          </m:r>
          <m:r>
            <m:rPr/>
            <w:rPr>
              <w:rFonts w:ascii="Cambria Math"/>
              <w:sz w:val="24"/>
              <w:szCs w:val="24"/>
            </w:rPr>
            <m:t>k</m:t>
          </m:r>
          <m:r>
            <m:rPr>
              <m:nor/>
              <m:sty m:val="p"/>
            </m:rPr>
            <w:rPr>
              <w:rFonts w:ascii="Cambria Math"/>
              <w:b w:val="0"/>
              <w:i w:val="0"/>
              <w:sz w:val="24"/>
              <w:szCs w:val="24"/>
            </w:rPr>
            <m:t>=2)</m:t>
          </m:r>
        </m:oMath>
      </m:oMathPara>
    </w:p>
    <w:p w14:paraId="31A61201">
      <w:pPr>
        <w:rPr>
          <w:sz w:val="24"/>
          <w:szCs w:val="24"/>
        </w:rPr>
      </w:pPr>
    </w:p>
    <w:sectPr>
      <w:pgSz w:w="11906" w:h="16838"/>
      <w:pgMar w:top="1440" w:right="1800" w:bottom="1440" w:left="22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ì.">
    <w:altName w:val="宋体"/>
    <w:panose1 w:val="00000000000000000000"/>
    <w:charset w:val="86"/>
    <w:family w:val="auto"/>
    <w:pitch w:val="default"/>
    <w:sig w:usb0="00000000" w:usb1="00000000" w:usb2="00000010" w:usb3="00000000" w:csb0="00040000" w:csb1="00000000"/>
  </w:font>
  <w:font w:name="Castellar">
    <w:panose1 w:val="020A0402060406010301"/>
    <w:charset w:val="00"/>
    <w:family w:val="roman"/>
    <w:pitch w:val="default"/>
    <w:sig w:usb0="00000003" w:usb1="00000000" w:usb2="00000000" w:usb3="00000000" w:csb0="20000001" w:csb1="00000000"/>
  </w:font>
  <w:font w:name="新宋体-18030">
    <w:altName w:val="微软雅黑"/>
    <w:panose1 w:val="00000000000000000000"/>
    <w:charset w:val="86"/>
    <w:family w:val="auto"/>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A85489"/>
    <w:multiLevelType w:val="multilevel"/>
    <w:tmpl w:val="4EA85489"/>
    <w:lvl w:ilvl="0" w:tentative="0">
      <w:start w:val="1"/>
      <w:numFmt w:val="chineseCountingThousand"/>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0577140"/>
    <w:rsid w:val="01AD5116"/>
    <w:rsid w:val="02830AFC"/>
    <w:rsid w:val="02C6061F"/>
    <w:rsid w:val="033C2484"/>
    <w:rsid w:val="038B04A6"/>
    <w:rsid w:val="078D21BA"/>
    <w:rsid w:val="08600724"/>
    <w:rsid w:val="09944A5F"/>
    <w:rsid w:val="0C811679"/>
    <w:rsid w:val="0D9C7310"/>
    <w:rsid w:val="0F7A6F82"/>
    <w:rsid w:val="10E35A82"/>
    <w:rsid w:val="12D44F51"/>
    <w:rsid w:val="14976A43"/>
    <w:rsid w:val="16856556"/>
    <w:rsid w:val="174032C8"/>
    <w:rsid w:val="19704437"/>
    <w:rsid w:val="1DD71FE5"/>
    <w:rsid w:val="1E243045"/>
    <w:rsid w:val="1F8F00F7"/>
    <w:rsid w:val="21130D5E"/>
    <w:rsid w:val="22DE709D"/>
    <w:rsid w:val="24500991"/>
    <w:rsid w:val="284B2E0F"/>
    <w:rsid w:val="2AE87C87"/>
    <w:rsid w:val="2CAB47C4"/>
    <w:rsid w:val="2CC24862"/>
    <w:rsid w:val="2EB23F5D"/>
    <w:rsid w:val="31CC308E"/>
    <w:rsid w:val="36A007CA"/>
    <w:rsid w:val="376F3581"/>
    <w:rsid w:val="394F188D"/>
    <w:rsid w:val="3AD15ECF"/>
    <w:rsid w:val="3B183DF3"/>
    <w:rsid w:val="3BC062F9"/>
    <w:rsid w:val="3D6C3AFB"/>
    <w:rsid w:val="3E32532F"/>
    <w:rsid w:val="3E484B7F"/>
    <w:rsid w:val="46BC781A"/>
    <w:rsid w:val="4705742D"/>
    <w:rsid w:val="4D9979D8"/>
    <w:rsid w:val="535B7F0E"/>
    <w:rsid w:val="550314F5"/>
    <w:rsid w:val="558F5DEC"/>
    <w:rsid w:val="567F382C"/>
    <w:rsid w:val="56D7103C"/>
    <w:rsid w:val="5A3A1AE4"/>
    <w:rsid w:val="5BDD526E"/>
    <w:rsid w:val="5DCD6172"/>
    <w:rsid w:val="601B4F8E"/>
    <w:rsid w:val="624221F8"/>
    <w:rsid w:val="625B1311"/>
    <w:rsid w:val="6307792F"/>
    <w:rsid w:val="63FA510E"/>
    <w:rsid w:val="641F2924"/>
    <w:rsid w:val="653A1FD0"/>
    <w:rsid w:val="66950DF7"/>
    <w:rsid w:val="6C7A233B"/>
    <w:rsid w:val="6D887C10"/>
    <w:rsid w:val="6FA05350"/>
    <w:rsid w:val="6FEF189F"/>
    <w:rsid w:val="75E66DC3"/>
    <w:rsid w:val="770A4CD0"/>
    <w:rsid w:val="7B6411A6"/>
    <w:rsid w:val="7BA06143"/>
    <w:rsid w:val="7F8F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Default"/>
    <w:qFormat/>
    <w:uiPriority w:val="0"/>
    <w:pPr>
      <w:widowControl w:val="0"/>
      <w:autoSpaceDE w:val="0"/>
      <w:autoSpaceDN w:val="0"/>
      <w:adjustRightInd w:val="0"/>
    </w:pPr>
    <w:rPr>
      <w:rFonts w:ascii="..ì." w:hAnsi="Times New Roman" w:eastAsia="..ì." w:cs="..ì."/>
      <w:color w:val="000000"/>
      <w:kern w:val="0"/>
      <w:sz w:val="24"/>
      <w:szCs w:val="24"/>
      <w:lang w:val="en-US" w:eastAsia="zh-CN" w:bidi="ar-SA"/>
    </w:rPr>
  </w:style>
  <w:style w:type="paragraph" w:customStyle="1" w:styleId="6">
    <w:name w:val="段"/>
    <w:next w:val="1"/>
    <w:autoRedefine/>
    <w:qFormat/>
    <w:uiPriority w:val="0"/>
    <w:pPr>
      <w:autoSpaceDE w:val="0"/>
      <w:autoSpaceDN w:val="0"/>
      <w:ind w:firstLine="200" w:firstLineChars="200"/>
      <w:jc w:val="both"/>
    </w:pPr>
    <w:rPr>
      <w:rFonts w:ascii="宋体" w:eastAsia="宋体" w:hAnsiTheme="minorHAnsi" w:cstheme="minorBidi"/>
      <w:kern w:val="2"/>
      <w:sz w:val="21"/>
      <w:szCs w:val="22"/>
      <w:lang w:val="en-US" w:eastAsia="zh-CN" w:bidi="ar-SA"/>
    </w:rPr>
  </w:style>
  <w:style w:type="character" w:customStyle="1" w:styleId="7">
    <w:name w:val="IOPText Char"/>
    <w:link w:val="8"/>
    <w:qFormat/>
    <w:uiPriority w:val="0"/>
  </w:style>
  <w:style w:type="paragraph" w:customStyle="1" w:styleId="8">
    <w:name w:val="IOPText"/>
    <w:basedOn w:val="9"/>
    <w:link w:val="7"/>
    <w:autoRedefine/>
    <w:qFormat/>
    <w:uiPriority w:val="0"/>
    <w:pPr>
      <w:ind w:right="0" w:firstLine="227"/>
    </w:pPr>
  </w:style>
  <w:style w:type="paragraph" w:customStyle="1" w:styleId="9">
    <w:name w:val="IOPAbsText"/>
    <w:basedOn w:val="1"/>
    <w:qFormat/>
    <w:uiPriority w:val="0"/>
    <w:pPr>
      <w:ind w:right="2552"/>
    </w:pPr>
    <w:rPr>
      <w:sz w:val="20"/>
    </w:rPr>
  </w:style>
  <w:style w:type="character" w:customStyle="1" w:styleId="10">
    <w:name w:val="font21"/>
    <w:basedOn w:val="4"/>
    <w:qFormat/>
    <w:uiPriority w:val="0"/>
    <w:rPr>
      <w:rFonts w:hint="eastAsia" w:ascii="宋体" w:hAnsi="宋体" w:eastAsia="宋体" w:cs="宋体"/>
      <w:color w:val="000000"/>
      <w:sz w:val="21"/>
      <w:szCs w:val="21"/>
      <w:u w:val="none"/>
    </w:rPr>
  </w:style>
  <w:style w:type="character" w:customStyle="1" w:styleId="11">
    <w:name w:val="font41"/>
    <w:basedOn w:val="4"/>
    <w:qFormat/>
    <w:uiPriority w:val="0"/>
    <w:rPr>
      <w:rFonts w:hint="default" w:ascii="Times New Roman" w:hAnsi="Times New Roman" w:cs="Times New Roman"/>
      <w:color w:val="000000"/>
      <w:sz w:val="21"/>
      <w:szCs w:val="21"/>
      <w:u w:val="none"/>
    </w:rPr>
  </w:style>
  <w:style w:type="character" w:customStyle="1" w:styleId="12">
    <w:name w:val="font11"/>
    <w:basedOn w:val="4"/>
    <w:qFormat/>
    <w:uiPriority w:val="0"/>
    <w:rPr>
      <w:rFonts w:hint="eastAsia" w:ascii="宋体" w:hAnsi="宋体" w:eastAsia="宋体" w:cs="宋体"/>
      <w:i/>
      <w:iCs/>
      <w:color w:val="000000"/>
      <w:sz w:val="21"/>
      <w:szCs w:val="21"/>
      <w:u w:val="none"/>
    </w:rPr>
  </w:style>
  <w:style w:type="character" w:customStyle="1" w:styleId="13">
    <w:name w:val="font51"/>
    <w:basedOn w:val="4"/>
    <w:qFormat/>
    <w:uiPriority w:val="0"/>
    <w:rPr>
      <w:rFonts w:hint="eastAsia" w:ascii="宋体" w:hAnsi="宋体" w:eastAsia="宋体" w:cs="宋体"/>
      <w:color w:val="000000"/>
      <w:sz w:val="21"/>
      <w:szCs w:val="21"/>
      <w:u w:val="none"/>
      <w:vertAlign w:val="subscript"/>
    </w:rPr>
  </w:style>
  <w:style w:type="character" w:customStyle="1" w:styleId="14">
    <w:name w:val="font01"/>
    <w:basedOn w:val="4"/>
    <w:qFormat/>
    <w:uiPriority w:val="0"/>
    <w:rPr>
      <w:rFonts w:hint="eastAsia" w:ascii="宋体" w:hAnsi="宋体" w:eastAsia="宋体" w:cs="宋体"/>
      <w:color w:val="000000"/>
      <w:sz w:val="22"/>
      <w:szCs w:val="22"/>
      <w:u w:val="none"/>
    </w:rPr>
  </w:style>
  <w:style w:type="character" w:customStyle="1" w:styleId="15">
    <w:name w:val="font61"/>
    <w:basedOn w:val="4"/>
    <w:qFormat/>
    <w:uiPriority w:val="0"/>
    <w:rPr>
      <w:rFonts w:ascii="宋体" w:hAnsi="宋体" w:eastAsia="宋体" w:cs="宋体"/>
      <w:color w:val="000000"/>
      <w:sz w:val="22"/>
      <w:szCs w:val="22"/>
      <w:u w:val="none"/>
    </w:rPr>
  </w:style>
  <w:style w:type="character" w:customStyle="1" w:styleId="16">
    <w:name w:val="font71"/>
    <w:basedOn w:val="4"/>
    <w:qFormat/>
    <w:uiPriority w:val="0"/>
    <w:rPr>
      <w:rFonts w:hint="default" w:ascii="Times New Roman" w:hAnsi="Times New Roman" w:cs="Times New Roman"/>
      <w:color w:val="000000"/>
      <w:sz w:val="22"/>
      <w:szCs w:val="22"/>
      <w:u w:val="none"/>
    </w:rPr>
  </w:style>
  <w:style w:type="character" w:customStyle="1" w:styleId="17">
    <w:name w:val="font31"/>
    <w:basedOn w:val="4"/>
    <w:qFormat/>
    <w:uiPriority w:val="0"/>
    <w:rPr>
      <w:rFonts w:hint="eastAsia" w:ascii="宋体" w:hAnsi="宋体" w:eastAsia="宋体" w:cs="宋体"/>
      <w:i/>
      <w:iCs/>
      <w:color w:val="000000"/>
      <w:sz w:val="22"/>
      <w:szCs w:val="22"/>
      <w:u w:val="none"/>
    </w:rPr>
  </w:style>
  <w:style w:type="character" w:customStyle="1" w:styleId="18">
    <w:name w:val="font91"/>
    <w:basedOn w:val="4"/>
    <w:autoRedefine/>
    <w:qFormat/>
    <w:uiPriority w:val="0"/>
    <w:rPr>
      <w:rFonts w:ascii="宋体" w:hAnsi="宋体" w:eastAsia="宋体" w:cs="宋体"/>
      <w:color w:val="000000"/>
      <w:sz w:val="22"/>
      <w:szCs w:val="22"/>
      <w:u w:val="none"/>
    </w:rPr>
  </w:style>
  <w:style w:type="paragraph" w:customStyle="1" w:styleId="19">
    <w:name w:val="附录的标题"/>
    <w:basedOn w:val="1"/>
    <w:autoRedefine/>
    <w:qFormat/>
    <w:uiPriority w:val="0"/>
    <w:pPr>
      <w:jc w:val="center"/>
    </w:pPr>
    <w:rPr>
      <w:rFonts w:ascii="黑体" w:hAnsi="黑体" w:eastAsia="黑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2250</Words>
  <Characters>2784</Characters>
  <Lines>0</Lines>
  <Paragraphs>0</Paragraphs>
  <TotalTime>0</TotalTime>
  <ScaleCrop>false</ScaleCrop>
  <LinksUpToDate>false</LinksUpToDate>
  <CharactersWithSpaces>2824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2022-10-20T04:45:00Z</dcterms:created>
  <dc:creator>12607</dc:creator>
  <cp:lastModifiedBy>Zhao Weiqiang</cp:lastModifiedBy>
  <dcterms:modified xsi:type="dcterms:W3CDTF">2025-09-20T04:31:07Z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D6FDF4D61EE94559A0BC89DE2380F5C4</vt:lpwstr>
  </property>
  <property fmtid="{D5CDD505-2E9C-101B-9397-08002B2CF9AE}" pid="4" name="KSOTemplateDocerSaveRecord">
    <vt:lpwstr>eyJoZGlkIjoiMzEwNTM5NzYwMDRjMzkwZTVkZjY2ODkwMGIxNGU0OTUiLCJ1c2VySWQiOiI0NTQ4NTY3NDQifQ==</vt:lpwstr>
  </property>
</Properties>
</file>